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CD3" w:rsidRDefault="001C0798">
      <w:pPr>
        <w:pStyle w:val="Standard"/>
        <w:spacing w:line="520" w:lineRule="exact"/>
        <w:rPr>
          <w:rFonts w:eastAsia="標楷體"/>
          <w:sz w:val="40"/>
          <w:szCs w:val="40"/>
        </w:rPr>
      </w:pPr>
      <w:bookmarkStart w:id="0" w:name="_GoBack"/>
      <w:bookmarkEnd w:id="0"/>
      <w:r>
        <w:rPr>
          <w:rFonts w:ascii="標楷體" w:eastAsia="標楷體" w:hAnsi="標楷體" w:cs="標楷體"/>
          <w:bCs/>
          <w:color w:val="000000"/>
          <w:sz w:val="40"/>
          <w:szCs w:val="40"/>
        </w:rPr>
        <w:t>教育部國民及學前教育署補助高級中等學校學生出國參加國際性技藝能競賽作業要點第四點修正規定</w:t>
      </w:r>
    </w:p>
    <w:p w:rsidR="001E7CD3" w:rsidRDefault="001C0798">
      <w:pPr>
        <w:pStyle w:val="Standard"/>
        <w:widowControl/>
        <w:tabs>
          <w:tab w:val="left" w:pos="1476"/>
          <w:tab w:val="left" w:pos="2392"/>
          <w:tab w:val="left" w:pos="3308"/>
          <w:tab w:val="left" w:pos="4224"/>
          <w:tab w:val="left" w:pos="5140"/>
          <w:tab w:val="left" w:pos="6056"/>
          <w:tab w:val="left" w:pos="6972"/>
          <w:tab w:val="left" w:pos="7888"/>
          <w:tab w:val="left" w:pos="8804"/>
          <w:tab w:val="left" w:pos="9720"/>
          <w:tab w:val="left" w:pos="10636"/>
          <w:tab w:val="left" w:pos="11552"/>
          <w:tab w:val="left" w:pos="12468"/>
          <w:tab w:val="left" w:pos="13384"/>
          <w:tab w:val="left" w:pos="14300"/>
          <w:tab w:val="left" w:pos="15216"/>
        </w:tabs>
        <w:spacing w:line="460" w:lineRule="exact"/>
        <w:ind w:left="560" w:hanging="560"/>
        <w:jc w:val="both"/>
      </w:pPr>
      <w:r>
        <w:rPr>
          <w:rFonts w:ascii="標楷體" w:eastAsia="標楷體" w:hAnsi="標楷體" w:cs="細明體, MingLiU"/>
          <w:sz w:val="28"/>
          <w:szCs w:val="28"/>
        </w:rPr>
        <w:t>四、本補助依中央對直轄市及縣</w:t>
      </w:r>
      <w:r>
        <w:rPr>
          <w:rFonts w:ascii="標楷體" w:eastAsia="標楷體" w:hAnsi="標楷體" w:cs="細明體, MingLiU"/>
          <w:sz w:val="28"/>
          <w:szCs w:val="28"/>
        </w:rPr>
        <w:t>(</w:t>
      </w:r>
      <w:r>
        <w:rPr>
          <w:rFonts w:ascii="標楷體" w:eastAsia="標楷體" w:hAnsi="標楷體" w:cs="細明體, MingLiU"/>
          <w:sz w:val="28"/>
          <w:szCs w:val="28"/>
        </w:rPr>
        <w:t>市</w:t>
      </w:r>
      <w:r>
        <w:rPr>
          <w:rFonts w:ascii="標楷體" w:eastAsia="標楷體" w:hAnsi="標楷體" w:cs="細明體, MingLiU"/>
          <w:sz w:val="28"/>
          <w:szCs w:val="28"/>
        </w:rPr>
        <w:t>)</w:t>
      </w:r>
      <w:r>
        <w:rPr>
          <w:rFonts w:ascii="標楷體" w:eastAsia="標楷體" w:hAnsi="標楷體" w:cs="細明體, MingLiU"/>
          <w:sz w:val="28"/>
          <w:szCs w:val="28"/>
        </w:rPr>
        <w:t>政府補助辦法之規定，就各直轄市、縣</w:t>
      </w:r>
      <w:r>
        <w:rPr>
          <w:rFonts w:ascii="標楷體" w:eastAsia="標楷體" w:hAnsi="標楷體" w:cs="細明體, MingLiU"/>
          <w:sz w:val="28"/>
          <w:szCs w:val="28"/>
        </w:rPr>
        <w:t>(</w:t>
      </w:r>
      <w:r>
        <w:rPr>
          <w:rFonts w:ascii="標楷體" w:eastAsia="標楷體" w:hAnsi="標楷體" w:cs="細明體, MingLiU"/>
          <w:sz w:val="28"/>
          <w:szCs w:val="28"/>
        </w:rPr>
        <w:t>市</w:t>
      </w:r>
      <w:r>
        <w:rPr>
          <w:rFonts w:ascii="標楷體" w:eastAsia="標楷體" w:hAnsi="標楷體" w:cs="細明體, MingLiU"/>
          <w:sz w:val="28"/>
          <w:szCs w:val="28"/>
        </w:rPr>
        <w:t>)</w:t>
      </w:r>
      <w:r>
        <w:rPr>
          <w:rFonts w:ascii="標楷體" w:eastAsia="標楷體" w:hAnsi="標楷體" w:cs="細明體, MingLiU"/>
          <w:sz w:val="28"/>
          <w:szCs w:val="28"/>
        </w:rPr>
        <w:t>政府</w:t>
      </w:r>
      <w:proofErr w:type="gramStart"/>
      <w:r>
        <w:rPr>
          <w:rFonts w:ascii="標楷體" w:eastAsia="標楷體" w:hAnsi="標楷體" w:cs="細明體, MingLiU"/>
          <w:sz w:val="28"/>
          <w:szCs w:val="28"/>
        </w:rPr>
        <w:t>財力級次</w:t>
      </w:r>
      <w:proofErr w:type="gramEnd"/>
      <w:r>
        <w:rPr>
          <w:rFonts w:ascii="標楷體" w:eastAsia="標楷體" w:hAnsi="標楷體" w:cs="細明體, MingLiU"/>
          <w:sz w:val="28"/>
          <w:szCs w:val="28"/>
        </w:rPr>
        <w:t>，給予不同補助比率，屬第一級者，最高補助比率為百分之七十；屬第二級者，最高補助比率為百分之七十五；</w:t>
      </w:r>
      <w:r>
        <w:rPr>
          <w:rFonts w:ascii="標楷體" w:eastAsia="標楷體" w:hAnsi="標楷體" w:cs="細明體, MingLiU"/>
          <w:sz w:val="28"/>
          <w:szCs w:val="28"/>
        </w:rPr>
        <w:t>第三級者，最高補助百分之七十八；第四級者，最高補助百分之七十九；第五級者，最高補助百分之八十。</w:t>
      </w:r>
    </w:p>
    <w:sectPr w:rsidR="001E7CD3">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798" w:rsidRDefault="001C0798">
      <w:pPr>
        <w:rPr>
          <w:rFonts w:hint="eastAsia"/>
        </w:rPr>
      </w:pPr>
      <w:r>
        <w:separator/>
      </w:r>
    </w:p>
  </w:endnote>
  <w:endnote w:type="continuationSeparator" w:id="0">
    <w:p w:rsidR="001C0798" w:rsidRDefault="001C079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PMingLiU">
    <w:charset w:val="00"/>
    <w:family w:val="roman"/>
    <w:pitch w:val="variable"/>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細明體, MingLiU">
    <w:charset w:val="00"/>
    <w:family w:val="moder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798" w:rsidRDefault="001C0798">
      <w:pPr>
        <w:rPr>
          <w:rFonts w:hint="eastAsia"/>
        </w:rPr>
      </w:pPr>
      <w:r>
        <w:rPr>
          <w:color w:val="000000"/>
        </w:rPr>
        <w:separator/>
      </w:r>
    </w:p>
  </w:footnote>
  <w:footnote w:type="continuationSeparator" w:id="0">
    <w:p w:rsidR="001C0798" w:rsidRDefault="001C0798">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C7390F"/>
    <w:multiLevelType w:val="multilevel"/>
    <w:tmpl w:val="76589C22"/>
    <w:styleLink w:val="WW8Num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E7CD3"/>
    <w:rsid w:val="001C0798"/>
    <w:rsid w:val="001E7CD3"/>
    <w:rsid w:val="00277D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Calibri" w:eastAsia="新細明體, PMingLiU" w:hAnsi="Calibri" w:cs="Times New Roman"/>
      <w:szCs w:val="22"/>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customStyle="1" w:styleId="0221">
    <w:name w:val="0221"/>
    <w:basedOn w:val="Standard"/>
    <w:pPr>
      <w:widowControl/>
      <w:spacing w:before="280" w:after="280"/>
    </w:pPr>
    <w:rPr>
      <w:rFonts w:ascii="新細明體, PMingLiU" w:hAnsi="新細明體, PMingLiU" w:cs="新細明體, PMingLiU"/>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7">
    <w:name w:val="頁首 字元"/>
    <w:rPr>
      <w:sz w:val="20"/>
      <w:szCs w:val="20"/>
    </w:rPr>
  </w:style>
  <w:style w:type="character" w:customStyle="1" w:styleId="a8">
    <w:name w:val="頁尾 字元"/>
    <w:rPr>
      <w:sz w:val="20"/>
      <w:szCs w:val="20"/>
    </w:rPr>
  </w:style>
  <w:style w:type="numbering" w:customStyle="1" w:styleId="WW8Num1">
    <w:name w:val="WW8Num1"/>
    <w:basedOn w:val="a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Calibri" w:eastAsia="新細明體, PMingLiU" w:hAnsi="Calibri" w:cs="Times New Roman"/>
      <w:szCs w:val="22"/>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customStyle="1" w:styleId="0221">
    <w:name w:val="0221"/>
    <w:basedOn w:val="Standard"/>
    <w:pPr>
      <w:widowControl/>
      <w:spacing w:before="280" w:after="280"/>
    </w:pPr>
    <w:rPr>
      <w:rFonts w:ascii="新細明體, PMingLiU" w:hAnsi="新細明體, PMingLiU" w:cs="新細明體, PMingLiU"/>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7">
    <w:name w:val="頁首 字元"/>
    <w:rPr>
      <w:sz w:val="20"/>
      <w:szCs w:val="20"/>
    </w:rPr>
  </w:style>
  <w:style w:type="character" w:customStyle="1" w:styleId="a8">
    <w:name w:val="頁尾 字元"/>
    <w:rPr>
      <w:sz w:val="20"/>
      <w:szCs w:val="20"/>
    </w:rPr>
  </w:style>
  <w:style w:type="numbering" w:customStyle="1" w:styleId="WW8Num1">
    <w:name w:val="WW8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27</Words>
  <Characters>158</Characters>
  <Application>Microsoft Office Word</Application>
  <DocSecurity>0</DocSecurity>
  <Lines>1</Lines>
  <Paragraphs>1</Paragraphs>
  <ScaleCrop>false</ScaleCrop>
  <Company/>
  <LinksUpToDate>false</LinksUpToDate>
  <CharactersWithSpaces>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TcSSH</cp:lastModifiedBy>
  <cp:revision>1</cp:revision>
  <cp:lastPrinted>2018-06-22T10:15:00Z</cp:lastPrinted>
  <dcterms:created xsi:type="dcterms:W3CDTF">2018-03-14T09:35:00Z</dcterms:created>
  <dcterms:modified xsi:type="dcterms:W3CDTF">2019-02-22T08:48:00Z</dcterms:modified>
</cp:coreProperties>
</file>