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C2F" w:rsidRDefault="00BF296A">
      <w:pPr>
        <w:pStyle w:val="Web"/>
        <w:shd w:val="clear" w:color="auto" w:fill="FFFFFF"/>
        <w:spacing w:line="500" w:lineRule="exact"/>
        <w:jc w:val="center"/>
      </w:pPr>
      <w:bookmarkStart w:id="0" w:name="_GoBack"/>
      <w:r>
        <w:rPr>
          <w:rFonts w:ascii="標楷體" w:eastAsia="標楷體" w:hAnsi="標楷體"/>
          <w:b/>
          <w:sz w:val="28"/>
          <w:szCs w:val="28"/>
        </w:rPr>
        <w:t>教育部國民及學前教育署補助國民中小學充實設施設備作業要點修正規定</w:t>
      </w:r>
      <w:bookmarkEnd w:id="0"/>
    </w:p>
    <w:p w:rsidR="00AD4C2F" w:rsidRDefault="00BF296A">
      <w:pPr>
        <w:pStyle w:val="Web"/>
        <w:shd w:val="clear" w:color="auto" w:fill="FFFFFF"/>
        <w:spacing w:before="0" w:after="0" w:line="440" w:lineRule="exact"/>
        <w:rPr>
          <w:rFonts w:ascii="標楷體" w:eastAsia="標楷體" w:hAnsi="標楷體"/>
          <w:color w:val="000000"/>
        </w:rPr>
      </w:pPr>
      <w:r>
        <w:rPr>
          <w:rFonts w:ascii="標楷體" w:eastAsia="標楷體" w:hAnsi="標楷體"/>
          <w:color w:val="000000"/>
        </w:rPr>
        <w:t>一、目的：</w:t>
      </w:r>
    </w:p>
    <w:p w:rsidR="00AD4C2F" w:rsidRDefault="00BF296A">
      <w:pPr>
        <w:pStyle w:val="Web"/>
        <w:shd w:val="clear" w:color="auto" w:fill="FFFFFF"/>
        <w:spacing w:before="0" w:after="0" w:line="440" w:lineRule="exact"/>
        <w:ind w:left="480" w:hanging="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改善校園設施、充實教學設備，以強化校園安全、提升教學品質及健全學習環境。</w:t>
      </w:r>
    </w:p>
    <w:p w:rsidR="00AD4C2F" w:rsidRDefault="00BF296A">
      <w:pPr>
        <w:pStyle w:val="Web"/>
        <w:shd w:val="clear" w:color="auto" w:fill="FFFFFF"/>
        <w:spacing w:before="0" w:after="0" w:line="440" w:lineRule="exact"/>
        <w:rPr>
          <w:rFonts w:ascii="標楷體" w:eastAsia="標楷體" w:hAnsi="標楷體"/>
          <w:color w:val="000000"/>
        </w:rPr>
      </w:pPr>
      <w:r>
        <w:rPr>
          <w:rFonts w:ascii="標楷體" w:eastAsia="標楷體" w:hAnsi="標楷體"/>
          <w:color w:val="000000"/>
        </w:rPr>
        <w:t>二、補助項目：</w:t>
      </w:r>
    </w:p>
    <w:p w:rsidR="00AD4C2F" w:rsidRDefault="00BF296A">
      <w:pPr>
        <w:pStyle w:val="Web"/>
        <w:shd w:val="clear" w:color="auto" w:fill="FFFFFF"/>
        <w:spacing w:before="0" w:after="0" w:line="440" w:lineRule="exact"/>
        <w:ind w:firstLine="120"/>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國民中小學校舍經鑑定有安全疑慮須立即改善者。</w:t>
      </w:r>
    </w:p>
    <w:p w:rsidR="00AD4C2F" w:rsidRDefault="00BF296A">
      <w:pPr>
        <w:pStyle w:val="Textbody"/>
        <w:snapToGrid w:val="0"/>
        <w:spacing w:line="400" w:lineRule="exact"/>
        <w:ind w:left="600" w:hanging="480"/>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color w:val="000000"/>
          <w:kern w:val="0"/>
        </w:rPr>
        <w:t>二</w:t>
      </w:r>
      <w:r>
        <w:rPr>
          <w:rFonts w:ascii="標楷體" w:eastAsia="標楷體" w:hAnsi="標楷體" w:cs="新細明體"/>
          <w:color w:val="000000"/>
          <w:kern w:val="0"/>
        </w:rPr>
        <w:t>)</w:t>
      </w:r>
      <w:r>
        <w:rPr>
          <w:rFonts w:ascii="標楷體" w:eastAsia="標楷體" w:hAnsi="標楷體" w:cs="新細明體"/>
          <w:color w:val="000000"/>
          <w:kern w:val="0"/>
        </w:rPr>
        <w:t>因天然災害</w:t>
      </w:r>
      <w:r>
        <w:rPr>
          <w:rFonts w:ascii="標楷體" w:eastAsia="標楷體" w:hAnsi="標楷體" w:cs="新細明體"/>
          <w:color w:val="000000"/>
          <w:kern w:val="0"/>
        </w:rPr>
        <w:t>(</w:t>
      </w:r>
      <w:r>
        <w:rPr>
          <w:rFonts w:ascii="標楷體" w:eastAsia="標楷體" w:hAnsi="標楷體" w:cs="新細明體"/>
          <w:color w:val="000000"/>
          <w:kern w:val="0"/>
        </w:rPr>
        <w:t>颱風、水災、地震、土石流及其他災害等</w:t>
      </w:r>
      <w:r>
        <w:rPr>
          <w:rFonts w:ascii="標楷體" w:eastAsia="標楷體" w:hAnsi="標楷體" w:cs="新細明體"/>
          <w:color w:val="000000"/>
          <w:kern w:val="0"/>
        </w:rPr>
        <w:t>)</w:t>
      </w:r>
      <w:r>
        <w:rPr>
          <w:rFonts w:ascii="標楷體" w:eastAsia="標楷體" w:hAnsi="標楷體" w:cs="新細明體"/>
          <w:color w:val="000000"/>
          <w:kern w:val="0"/>
        </w:rPr>
        <w:t>致校園環境遭受損害，影響校園正常運作者。</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國民中小學教學設施設備明顯不足，對教學效果及教學品質顯有不利影響者。</w:t>
      </w:r>
    </w:p>
    <w:p w:rsidR="00AD4C2F" w:rsidRDefault="00BF296A">
      <w:pPr>
        <w:pStyle w:val="Web"/>
        <w:shd w:val="clear" w:color="auto" w:fill="FFFFFF"/>
        <w:spacing w:before="0" w:after="0" w:line="44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其他有緊急需求必須補助經費者。</w:t>
      </w:r>
    </w:p>
    <w:p w:rsidR="00AD4C2F" w:rsidRDefault="00BF296A">
      <w:pPr>
        <w:pStyle w:val="Web"/>
        <w:shd w:val="clear" w:color="auto" w:fill="FFFFFF"/>
        <w:spacing w:before="0" w:after="0" w:line="440" w:lineRule="exact"/>
        <w:rPr>
          <w:rFonts w:ascii="標楷體" w:eastAsia="標楷體" w:hAnsi="標楷體"/>
          <w:color w:val="000000"/>
        </w:rPr>
      </w:pPr>
      <w:r>
        <w:rPr>
          <w:rFonts w:ascii="標楷體" w:eastAsia="標楷體" w:hAnsi="標楷體"/>
          <w:color w:val="000000"/>
        </w:rPr>
        <w:t>三、補助範疇：</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補助原則：</w:t>
      </w:r>
    </w:p>
    <w:p w:rsidR="00AD4C2F" w:rsidRDefault="00BF296A">
      <w:pPr>
        <w:pStyle w:val="Textbody"/>
        <w:snapToGrid w:val="0"/>
        <w:spacing w:line="400" w:lineRule="exact"/>
        <w:ind w:left="624" w:hanging="227"/>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本要點補助經費為資本門，應支用於改善校舍安全、校園環境修繕及設備充實</w:t>
      </w:r>
      <w:r>
        <w:rPr>
          <w:rFonts w:ascii="標楷體" w:eastAsia="標楷體" w:hAnsi="標楷體"/>
          <w:color w:val="000000"/>
        </w:rPr>
        <w:t>(</w:t>
      </w:r>
      <w:r>
        <w:rPr>
          <w:rFonts w:ascii="標楷體" w:eastAsia="標楷體" w:hAnsi="標楷體"/>
          <w:color w:val="000000"/>
        </w:rPr>
        <w:t>含設計、監造及工程管理費用</w:t>
      </w:r>
      <w:r>
        <w:rPr>
          <w:rFonts w:ascii="標楷體" w:eastAsia="標楷體" w:hAnsi="標楷體"/>
          <w:color w:val="000000"/>
        </w:rPr>
        <w:t>)</w:t>
      </w:r>
      <w:r>
        <w:rPr>
          <w:rFonts w:ascii="標楷體" w:eastAsia="標楷體" w:hAnsi="標楷體"/>
          <w:color w:val="000000"/>
        </w:rPr>
        <w:t>。</w:t>
      </w:r>
    </w:p>
    <w:p w:rsidR="00AD4C2F" w:rsidRDefault="00BF296A">
      <w:pPr>
        <w:pStyle w:val="Textbody"/>
        <w:snapToGrid w:val="0"/>
        <w:spacing w:line="400" w:lineRule="exact"/>
        <w:ind w:left="624" w:hanging="227"/>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土地產權未</w:t>
      </w:r>
      <w:proofErr w:type="gramStart"/>
      <w:r>
        <w:rPr>
          <w:rFonts w:ascii="標楷體" w:eastAsia="標楷體" w:hAnsi="標楷體"/>
          <w:color w:val="000000"/>
        </w:rPr>
        <w:t>清楚、</w:t>
      </w:r>
      <w:proofErr w:type="gramEnd"/>
      <w:r>
        <w:rPr>
          <w:rFonts w:ascii="標楷體" w:eastAsia="標楷體" w:hAnsi="標楷體"/>
          <w:color w:val="000000"/>
        </w:rPr>
        <w:t>未取得建造與使用執照及報廢有困難者，不得申請補助。</w:t>
      </w:r>
    </w:p>
    <w:p w:rsidR="00AD4C2F" w:rsidRDefault="00BF296A">
      <w:pPr>
        <w:pStyle w:val="Textbody"/>
        <w:snapToGrid w:val="0"/>
        <w:spacing w:line="400" w:lineRule="exact"/>
        <w:ind w:left="624" w:hanging="227"/>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應考慮學校未來五年發展規模，做校園整體規劃，並符合綠建築設計要求及國民中小學設備基準規定，依其</w:t>
      </w:r>
      <w:proofErr w:type="gramStart"/>
      <w:r>
        <w:rPr>
          <w:rFonts w:ascii="標楷體" w:eastAsia="標楷體" w:hAnsi="標楷體"/>
          <w:color w:val="000000"/>
        </w:rPr>
        <w:t>最</w:t>
      </w:r>
      <w:proofErr w:type="gramEnd"/>
      <w:r>
        <w:rPr>
          <w:rFonts w:ascii="標楷體" w:eastAsia="標楷體" w:hAnsi="標楷體"/>
          <w:color w:val="000000"/>
        </w:rPr>
        <w:t>適需求予以補助。</w:t>
      </w:r>
    </w:p>
    <w:p w:rsidR="00AD4C2F" w:rsidRDefault="00BF296A">
      <w:pPr>
        <w:pStyle w:val="Textbody"/>
        <w:snapToGrid w:val="0"/>
        <w:spacing w:line="400" w:lineRule="exact"/>
        <w:ind w:left="624" w:hanging="227"/>
        <w:rPr>
          <w:rFonts w:ascii="標楷體" w:eastAsia="標楷體" w:hAnsi="標楷體"/>
          <w:color w:val="000000"/>
        </w:rPr>
      </w:pPr>
      <w:r>
        <w:rPr>
          <w:rFonts w:ascii="標楷體" w:eastAsia="標楷體" w:hAnsi="標楷體"/>
          <w:color w:val="000000"/>
        </w:rPr>
        <w:t>4.</w:t>
      </w:r>
      <w:bookmarkStart w:id="1" w:name="_Hlk5194427"/>
      <w:r>
        <w:rPr>
          <w:rFonts w:ascii="標楷體" w:eastAsia="標楷體" w:hAnsi="標楷體"/>
          <w:color w:val="000000"/>
        </w:rPr>
        <w:t>量體較大之工程或計畫，</w:t>
      </w:r>
      <w:proofErr w:type="gramStart"/>
      <w:r>
        <w:rPr>
          <w:rFonts w:ascii="標楷體" w:eastAsia="標楷體" w:hAnsi="標楷體"/>
          <w:color w:val="000000"/>
        </w:rPr>
        <w:t>一</w:t>
      </w:r>
      <w:proofErr w:type="gramEnd"/>
      <w:r>
        <w:rPr>
          <w:rFonts w:ascii="標楷體" w:eastAsia="標楷體" w:hAnsi="標楷體"/>
          <w:color w:val="000000"/>
        </w:rPr>
        <w:t>年內無法竣工者，</w:t>
      </w:r>
      <w:proofErr w:type="gramStart"/>
      <w:r>
        <w:rPr>
          <w:rFonts w:ascii="標楷體" w:eastAsia="標楷體" w:hAnsi="標楷體"/>
          <w:color w:val="000000"/>
        </w:rPr>
        <w:t>採</w:t>
      </w:r>
      <w:proofErr w:type="gramEnd"/>
      <w:r>
        <w:rPr>
          <w:rFonts w:ascii="標楷體" w:eastAsia="標楷體" w:hAnsi="標楷體"/>
          <w:color w:val="000000"/>
        </w:rPr>
        <w:t>「一次核定經費，分年編列預算補助」方式辦理；倘申請經費保留作業未獲同意者，則納入地方政府自籌經費辦理。</w:t>
      </w:r>
      <w:bookmarkEnd w:id="1"/>
    </w:p>
    <w:p w:rsidR="00AD4C2F" w:rsidRDefault="00BF296A">
      <w:pPr>
        <w:pStyle w:val="Textbody"/>
        <w:snapToGrid w:val="0"/>
        <w:spacing w:line="400" w:lineRule="exact"/>
        <w:ind w:left="624" w:hanging="227"/>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特殊項目補助基準：</w:t>
      </w:r>
    </w:p>
    <w:p w:rsidR="00AD4C2F" w:rsidRDefault="00BF296A">
      <w:pPr>
        <w:pStyle w:val="Textbody"/>
        <w:snapToGrid w:val="0"/>
        <w:spacing w:line="400" w:lineRule="exact"/>
        <w:ind w:left="566" w:firstLine="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資訊教學設備、遊戲與音樂器材及圖書：每校最高補助新臺幣</w:t>
      </w:r>
      <w:r>
        <w:rPr>
          <w:rFonts w:ascii="標楷體" w:eastAsia="標楷體" w:hAnsi="標楷體"/>
          <w:color w:val="000000"/>
        </w:rPr>
        <w:t>(</w:t>
      </w:r>
      <w:r>
        <w:rPr>
          <w:rFonts w:ascii="標楷體" w:eastAsia="標楷體" w:hAnsi="標楷體"/>
          <w:color w:val="000000"/>
        </w:rPr>
        <w:t>以下同</w:t>
      </w: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百萬元。</w:t>
      </w:r>
    </w:p>
    <w:p w:rsidR="00AD4C2F" w:rsidRDefault="00BF296A">
      <w:pPr>
        <w:pStyle w:val="Textbody"/>
        <w:snapToGrid w:val="0"/>
        <w:spacing w:line="400" w:lineRule="exact"/>
        <w:ind w:left="566" w:firstLine="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特色遊戲場計畫：每校最高補助一百五十萬元為原則。</w:t>
      </w:r>
    </w:p>
    <w:p w:rsidR="00AD4C2F" w:rsidRDefault="00BF296A">
      <w:pPr>
        <w:pStyle w:val="Textbody"/>
        <w:snapToGrid w:val="0"/>
        <w:spacing w:line="400" w:lineRule="exact"/>
        <w:ind w:left="566" w:firstLine="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圖書館</w:t>
      </w:r>
      <w:r>
        <w:rPr>
          <w:rFonts w:ascii="標楷體" w:eastAsia="標楷體" w:hAnsi="標楷體"/>
          <w:color w:val="000000"/>
        </w:rPr>
        <w:t>(</w:t>
      </w:r>
      <w:r>
        <w:rPr>
          <w:rFonts w:ascii="標楷體" w:eastAsia="標楷體" w:hAnsi="標楷體"/>
          <w:color w:val="000000"/>
        </w:rPr>
        <w:t>室</w:t>
      </w:r>
      <w:r>
        <w:rPr>
          <w:rFonts w:ascii="標楷體" w:eastAsia="標楷體" w:hAnsi="標楷體"/>
          <w:color w:val="000000"/>
        </w:rPr>
        <w:t>)</w:t>
      </w:r>
      <w:r>
        <w:rPr>
          <w:rFonts w:ascii="標楷體" w:eastAsia="標楷體" w:hAnsi="標楷體"/>
          <w:color w:val="000000"/>
        </w:rPr>
        <w:t>修繕：每校最高補助兩百萬元。</w:t>
      </w:r>
    </w:p>
    <w:p w:rsidR="00AD4C2F" w:rsidRDefault="00BF296A">
      <w:pPr>
        <w:pStyle w:val="Textbody"/>
        <w:snapToGrid w:val="0"/>
        <w:spacing w:line="400" w:lineRule="exact"/>
        <w:ind w:left="624" w:hanging="170"/>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前一年度已獲本要點補助超過一百萬元之學校，不再予以補助。</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前開補助原則，倘因應天然災害及民間捐資重建校舍，不在此限；另本要點之補助得依</w:t>
      </w:r>
      <w:proofErr w:type="gramStart"/>
      <w:r>
        <w:rPr>
          <w:rFonts w:ascii="標楷體" w:eastAsia="標楷體" w:hAnsi="標楷體"/>
          <w:color w:val="000000"/>
        </w:rPr>
        <w:t>本署當</w:t>
      </w:r>
      <w:proofErr w:type="gramEnd"/>
      <w:r>
        <w:rPr>
          <w:rFonts w:ascii="標楷體" w:eastAsia="標楷體" w:hAnsi="標楷體"/>
          <w:color w:val="000000"/>
        </w:rPr>
        <w:t>年度預</w:t>
      </w:r>
      <w:r>
        <w:rPr>
          <w:rFonts w:ascii="標楷體" w:eastAsia="標楷體" w:hAnsi="標楷體"/>
          <w:color w:val="000000"/>
        </w:rPr>
        <w:t>算編列情形予以調整。</w:t>
      </w:r>
    </w:p>
    <w:p w:rsidR="00AD4C2F" w:rsidRDefault="00BF296A">
      <w:pPr>
        <w:pStyle w:val="Web"/>
        <w:shd w:val="clear" w:color="auto" w:fill="FFFFFF"/>
        <w:spacing w:before="0" w:after="0" w:line="440" w:lineRule="exact"/>
        <w:rPr>
          <w:rFonts w:ascii="標楷體" w:eastAsia="標楷體" w:hAnsi="標楷體"/>
          <w:color w:val="000000"/>
        </w:rPr>
      </w:pPr>
      <w:r>
        <w:rPr>
          <w:rFonts w:ascii="標楷體" w:eastAsia="標楷體" w:hAnsi="標楷體"/>
          <w:color w:val="000000"/>
        </w:rPr>
        <w:t>四、申請及審查作業：</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申請時間：每年四月至十月受理地方政府報送計畫書，惟天然災害受損復建者不受此限。</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申請方式：國民中小學應依</w:t>
      </w:r>
      <w:proofErr w:type="gramStart"/>
      <w:r>
        <w:rPr>
          <w:rFonts w:ascii="標楷體" w:eastAsia="標楷體" w:hAnsi="標楷體"/>
          <w:color w:val="000000"/>
        </w:rPr>
        <w:t>本署函發</w:t>
      </w:r>
      <w:proofErr w:type="gramEnd"/>
      <w:r>
        <w:rPr>
          <w:rFonts w:ascii="標楷體" w:eastAsia="標楷體" w:hAnsi="標楷體"/>
          <w:color w:val="000000"/>
        </w:rPr>
        <w:t>之申請補助注意事項規定，檢附計畫書、經費申請表及相關附件辦理，每校每年以申請一案為原則；</w:t>
      </w:r>
      <w:proofErr w:type="gramStart"/>
      <w:r>
        <w:rPr>
          <w:rFonts w:ascii="標楷體" w:eastAsia="標楷體" w:hAnsi="標楷體"/>
          <w:color w:val="000000"/>
        </w:rPr>
        <w:t>本署未</w:t>
      </w:r>
      <w:proofErr w:type="gramEnd"/>
      <w:r>
        <w:rPr>
          <w:rFonts w:ascii="標楷體" w:eastAsia="標楷體" w:hAnsi="標楷體"/>
          <w:color w:val="000000"/>
        </w:rPr>
        <w:t>有規定者，得從其主管機關規範。</w:t>
      </w:r>
    </w:p>
    <w:p w:rsidR="00AD4C2F" w:rsidRDefault="00BF296A">
      <w:pPr>
        <w:pStyle w:val="Textbody"/>
        <w:snapToGrid w:val="0"/>
        <w:spacing w:line="400" w:lineRule="exact"/>
        <w:ind w:left="600" w:hanging="480"/>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rPr>
        <w:t>國民中小學所申請項目應審酌其急迫性，並經校內相關會議通過，倘涉及教學設備之申請，應邀集相關領域召集人參與會議。</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bookmarkStart w:id="2" w:name="_Hlk5194600"/>
      <w:r>
        <w:rPr>
          <w:rFonts w:ascii="標楷體" w:eastAsia="標楷體" w:hAnsi="標楷體"/>
          <w:color w:val="000000"/>
        </w:rPr>
        <w:t>各地方政府應就所轄國民中小學報送之計畫，依其明確性及合理性辦理初審，單一學校申請金額超過</w:t>
      </w:r>
      <w:proofErr w:type="gramStart"/>
      <w:r>
        <w:rPr>
          <w:rFonts w:ascii="標楷體" w:eastAsia="標楷體" w:hAnsi="標楷體"/>
          <w:color w:val="000000"/>
        </w:rPr>
        <w:t>一</w:t>
      </w:r>
      <w:proofErr w:type="gramEnd"/>
      <w:r>
        <w:rPr>
          <w:rFonts w:ascii="標楷體" w:eastAsia="標楷體" w:hAnsi="標楷體"/>
          <w:color w:val="000000"/>
        </w:rPr>
        <w:t>百萬</w:t>
      </w:r>
      <w:r>
        <w:rPr>
          <w:rFonts w:ascii="標楷體" w:eastAsia="標楷體" w:hAnsi="標楷體"/>
          <w:color w:val="000000"/>
        </w:rPr>
        <w:t>元以上者，應由地方政府辦理實地勘查後，再</w:t>
      </w:r>
      <w:proofErr w:type="gramStart"/>
      <w:r>
        <w:rPr>
          <w:rFonts w:ascii="標楷體" w:eastAsia="標楷體" w:hAnsi="標楷體"/>
          <w:color w:val="000000"/>
        </w:rPr>
        <w:t>予報本署申請</w:t>
      </w:r>
      <w:proofErr w:type="gramEnd"/>
      <w:r>
        <w:rPr>
          <w:rFonts w:ascii="標楷體" w:eastAsia="標楷體" w:hAnsi="標楷體"/>
          <w:color w:val="000000"/>
        </w:rPr>
        <w:t>。</w:t>
      </w:r>
      <w:bookmarkEnd w:id="2"/>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各地方政府依其財力</w:t>
      </w:r>
      <w:proofErr w:type="gramStart"/>
      <w:r>
        <w:rPr>
          <w:rFonts w:ascii="標楷體" w:eastAsia="標楷體" w:hAnsi="標楷體"/>
          <w:color w:val="000000"/>
        </w:rPr>
        <w:t>等級之級距</w:t>
      </w:r>
      <w:proofErr w:type="gramEnd"/>
      <w:r>
        <w:rPr>
          <w:rFonts w:ascii="標楷體" w:eastAsia="標楷體" w:hAnsi="標楷體"/>
          <w:color w:val="000000"/>
        </w:rPr>
        <w:t>，</w:t>
      </w:r>
      <w:proofErr w:type="gramStart"/>
      <w:r>
        <w:rPr>
          <w:rFonts w:ascii="標楷體" w:eastAsia="標楷體" w:hAnsi="標楷體"/>
          <w:color w:val="000000"/>
        </w:rPr>
        <w:t>採</w:t>
      </w:r>
      <w:proofErr w:type="gramEnd"/>
      <w:r>
        <w:rPr>
          <w:rFonts w:ascii="標楷體" w:eastAsia="標楷體" w:hAnsi="標楷體"/>
          <w:color w:val="000000"/>
        </w:rPr>
        <w:t>累進方式計算最高補助比率，各</w:t>
      </w:r>
      <w:proofErr w:type="gramStart"/>
      <w:r>
        <w:rPr>
          <w:rFonts w:ascii="標楷體" w:eastAsia="標楷體" w:hAnsi="標楷體"/>
          <w:color w:val="000000"/>
        </w:rPr>
        <w:t>財力級次最高</w:t>
      </w:r>
      <w:proofErr w:type="gramEnd"/>
      <w:r>
        <w:rPr>
          <w:rFonts w:ascii="標楷體" w:eastAsia="標楷體" w:hAnsi="標楷體"/>
          <w:color w:val="000000"/>
        </w:rPr>
        <w:t>補助比率如下表：</w:t>
      </w:r>
    </w:p>
    <w:tbl>
      <w:tblPr>
        <w:tblW w:w="5000" w:type="pct"/>
        <w:jc w:val="center"/>
        <w:tblLayout w:type="fixed"/>
        <w:tblCellMar>
          <w:left w:w="10" w:type="dxa"/>
          <w:right w:w="10" w:type="dxa"/>
        </w:tblCellMar>
        <w:tblLook w:val="04A0" w:firstRow="1" w:lastRow="0" w:firstColumn="1" w:lastColumn="0" w:noHBand="0" w:noVBand="1"/>
      </w:tblPr>
      <w:tblGrid>
        <w:gridCol w:w="4145"/>
        <w:gridCol w:w="1163"/>
        <w:gridCol w:w="1164"/>
        <w:gridCol w:w="1164"/>
        <w:gridCol w:w="1164"/>
        <w:gridCol w:w="1162"/>
      </w:tblGrid>
      <w:tr w:rsidR="00AD4C2F">
        <w:tblPrEx>
          <w:tblCellMar>
            <w:top w:w="0" w:type="dxa"/>
            <w:bottom w:w="0" w:type="dxa"/>
          </w:tblCellMar>
        </w:tblPrEx>
        <w:trPr>
          <w:jc w:val="center"/>
        </w:trPr>
        <w:tc>
          <w:tcPr>
            <w:tcW w:w="40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Web"/>
              <w:spacing w:before="0" w:after="0" w:line="440" w:lineRule="exact"/>
              <w:jc w:val="center"/>
              <w:rPr>
                <w:rFonts w:ascii="標楷體" w:eastAsia="標楷體" w:hAnsi="標楷體" w:cs="Times New Roman"/>
                <w:color w:val="000000"/>
                <w:kern w:val="3"/>
              </w:rPr>
            </w:pPr>
            <w:r>
              <w:rPr>
                <w:rFonts w:ascii="標楷體" w:eastAsia="標楷體" w:hAnsi="標楷體" w:cs="Times New Roman"/>
                <w:color w:val="000000"/>
                <w:kern w:val="3"/>
              </w:rPr>
              <w:lastRenderedPageBreak/>
              <w:t>申請金額</w:t>
            </w:r>
            <w:r>
              <w:rPr>
                <w:rFonts w:ascii="標楷體" w:eastAsia="標楷體" w:hAnsi="標楷體" w:cs="Times New Roman"/>
                <w:color w:val="000000"/>
                <w:kern w:val="3"/>
              </w:rPr>
              <w:t>(</w:t>
            </w:r>
            <w:r>
              <w:rPr>
                <w:rFonts w:ascii="標楷體" w:eastAsia="標楷體" w:hAnsi="標楷體" w:cs="Times New Roman"/>
                <w:color w:val="000000"/>
                <w:kern w:val="3"/>
              </w:rPr>
              <w:t>新臺幣</w:t>
            </w:r>
            <w:r>
              <w:rPr>
                <w:rFonts w:ascii="標楷體" w:eastAsia="標楷體" w:hAnsi="標楷體" w:cs="Times New Roman"/>
                <w:color w:val="000000"/>
                <w:kern w:val="3"/>
              </w:rPr>
              <w:t>)</w:t>
            </w:r>
          </w:p>
        </w:tc>
        <w:tc>
          <w:tcPr>
            <w:tcW w:w="56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Web"/>
              <w:spacing w:before="0" w:after="0" w:line="440" w:lineRule="exact"/>
              <w:jc w:val="center"/>
              <w:rPr>
                <w:rFonts w:ascii="標楷體" w:eastAsia="標楷體" w:hAnsi="標楷體" w:cs="Times New Roman"/>
                <w:color w:val="000000"/>
                <w:kern w:val="3"/>
              </w:rPr>
            </w:pPr>
            <w:r>
              <w:rPr>
                <w:rFonts w:ascii="標楷體" w:eastAsia="標楷體" w:hAnsi="標楷體" w:cs="Times New Roman"/>
                <w:color w:val="000000"/>
                <w:kern w:val="3"/>
              </w:rPr>
              <w:t>各財力等級之最高補助比率</w:t>
            </w:r>
            <w:r>
              <w:rPr>
                <w:rFonts w:ascii="標楷體" w:eastAsia="標楷體" w:hAnsi="標楷體" w:cs="Times New Roman"/>
                <w:color w:val="000000"/>
                <w:kern w:val="3"/>
              </w:rPr>
              <w:t>(%)</w:t>
            </w:r>
          </w:p>
        </w:tc>
      </w:tr>
      <w:tr w:rsidR="00AD4C2F">
        <w:tblPrEx>
          <w:tblCellMar>
            <w:top w:w="0" w:type="dxa"/>
            <w:bottom w:w="0" w:type="dxa"/>
          </w:tblCellMar>
        </w:tblPrEx>
        <w:trPr>
          <w:trHeight w:val="73"/>
          <w:jc w:val="center"/>
        </w:trPr>
        <w:tc>
          <w:tcPr>
            <w:tcW w:w="40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F296A">
            <w:pPr>
              <w:widowControl/>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4C2F" w:rsidRDefault="00BF296A">
            <w:pPr>
              <w:pStyle w:val="Web"/>
              <w:spacing w:before="0" w:after="0" w:line="440" w:lineRule="exact"/>
              <w:jc w:val="center"/>
              <w:rPr>
                <w:rFonts w:ascii="標楷體" w:eastAsia="標楷體" w:hAnsi="標楷體" w:cs="Times New Roman"/>
                <w:color w:val="000000"/>
                <w:kern w:val="3"/>
              </w:rPr>
            </w:pPr>
            <w:r>
              <w:rPr>
                <w:rFonts w:ascii="標楷體" w:eastAsia="標楷體" w:hAnsi="標楷體" w:cs="Times New Roman"/>
                <w:color w:val="000000"/>
                <w:kern w:val="3"/>
              </w:rPr>
              <w:t>第一級</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4C2F" w:rsidRDefault="00BF296A">
            <w:pPr>
              <w:pStyle w:val="Web"/>
              <w:spacing w:before="0" w:after="0" w:line="440" w:lineRule="exact"/>
              <w:jc w:val="center"/>
              <w:rPr>
                <w:rFonts w:ascii="標楷體" w:eastAsia="標楷體" w:hAnsi="標楷體" w:cs="Times New Roman"/>
                <w:color w:val="000000"/>
                <w:kern w:val="3"/>
              </w:rPr>
            </w:pPr>
            <w:r>
              <w:rPr>
                <w:rFonts w:ascii="標楷體" w:eastAsia="標楷體" w:hAnsi="標楷體" w:cs="Times New Roman"/>
                <w:color w:val="000000"/>
                <w:kern w:val="3"/>
              </w:rPr>
              <w:t>第二級</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4C2F" w:rsidRDefault="00BF296A">
            <w:pPr>
              <w:pStyle w:val="Web"/>
              <w:spacing w:before="0" w:after="0" w:line="440" w:lineRule="exact"/>
              <w:jc w:val="center"/>
              <w:rPr>
                <w:rFonts w:ascii="標楷體" w:eastAsia="標楷體" w:hAnsi="標楷體" w:cs="Times New Roman"/>
                <w:color w:val="000000"/>
                <w:kern w:val="3"/>
              </w:rPr>
            </w:pPr>
            <w:r>
              <w:rPr>
                <w:rFonts w:ascii="標楷體" w:eastAsia="標楷體" w:hAnsi="標楷體" w:cs="Times New Roman"/>
                <w:color w:val="000000"/>
                <w:kern w:val="3"/>
              </w:rPr>
              <w:t>第三級</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4C2F" w:rsidRDefault="00BF296A">
            <w:pPr>
              <w:pStyle w:val="Web"/>
              <w:spacing w:before="0" w:after="0" w:line="440" w:lineRule="exact"/>
              <w:jc w:val="center"/>
              <w:rPr>
                <w:rFonts w:ascii="標楷體" w:eastAsia="標楷體" w:hAnsi="標楷體" w:cs="Times New Roman"/>
                <w:color w:val="000000"/>
                <w:kern w:val="3"/>
              </w:rPr>
            </w:pPr>
            <w:r>
              <w:rPr>
                <w:rFonts w:ascii="標楷體" w:eastAsia="標楷體" w:hAnsi="標楷體" w:cs="Times New Roman"/>
                <w:color w:val="000000"/>
                <w:kern w:val="3"/>
              </w:rPr>
              <w:t>第四級</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4C2F" w:rsidRDefault="00BF296A">
            <w:pPr>
              <w:pStyle w:val="Web"/>
              <w:spacing w:before="0" w:after="0" w:line="440" w:lineRule="exact"/>
              <w:jc w:val="center"/>
              <w:rPr>
                <w:rFonts w:ascii="標楷體" w:eastAsia="標楷體" w:hAnsi="標楷體" w:cs="Times New Roman"/>
                <w:color w:val="000000"/>
                <w:kern w:val="3"/>
              </w:rPr>
            </w:pPr>
            <w:r>
              <w:rPr>
                <w:rFonts w:ascii="標楷體" w:eastAsia="標楷體" w:hAnsi="標楷體" w:cs="Times New Roman"/>
                <w:color w:val="000000"/>
                <w:kern w:val="3"/>
              </w:rPr>
              <w:t>第五級</w:t>
            </w:r>
          </w:p>
        </w:tc>
      </w:tr>
      <w:tr w:rsidR="00AD4C2F">
        <w:tblPrEx>
          <w:tblCellMar>
            <w:top w:w="0" w:type="dxa"/>
            <w:bottom w:w="0" w:type="dxa"/>
          </w:tblCellMar>
        </w:tblPrEx>
        <w:trPr>
          <w:trHeight w:val="70"/>
          <w:jc w:val="center"/>
        </w:trPr>
        <w:tc>
          <w:tcPr>
            <w:tcW w:w="4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Web"/>
              <w:spacing w:before="0" w:after="0" w:line="440" w:lineRule="exact"/>
              <w:jc w:val="both"/>
              <w:rPr>
                <w:rFonts w:ascii="標楷體" w:eastAsia="標楷體" w:hAnsi="標楷體" w:cs="Times New Roman"/>
                <w:color w:val="000000"/>
                <w:kern w:val="3"/>
              </w:rPr>
            </w:pPr>
            <w:r>
              <w:rPr>
                <w:rFonts w:ascii="標楷體" w:eastAsia="標楷體" w:hAnsi="標楷體" w:cs="Times New Roman"/>
                <w:color w:val="000000"/>
                <w:kern w:val="3"/>
              </w:rPr>
              <w:t>一千萬元以下部分</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七十</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八十</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八十五</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八十八</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九十</w:t>
            </w:r>
          </w:p>
        </w:tc>
      </w:tr>
      <w:tr w:rsidR="00AD4C2F">
        <w:tblPrEx>
          <w:tblCellMar>
            <w:top w:w="0" w:type="dxa"/>
            <w:bottom w:w="0" w:type="dxa"/>
          </w:tblCellMar>
        </w:tblPrEx>
        <w:trPr>
          <w:trHeight w:val="70"/>
          <w:jc w:val="center"/>
        </w:trPr>
        <w:tc>
          <w:tcPr>
            <w:tcW w:w="4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Web"/>
              <w:spacing w:before="0" w:after="0" w:line="440" w:lineRule="exact"/>
              <w:jc w:val="both"/>
              <w:rPr>
                <w:rFonts w:ascii="標楷體" w:eastAsia="標楷體" w:hAnsi="標楷體" w:cs="Times New Roman"/>
                <w:color w:val="000000"/>
                <w:kern w:val="3"/>
              </w:rPr>
            </w:pPr>
            <w:r>
              <w:rPr>
                <w:rFonts w:ascii="標楷體" w:eastAsia="標楷體" w:hAnsi="標楷體" w:cs="Times New Roman"/>
                <w:color w:val="000000"/>
                <w:kern w:val="3"/>
              </w:rPr>
              <w:t>超過一千萬元至三千萬元部分</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三十</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四十</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五十</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五十五</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六十</w:t>
            </w:r>
          </w:p>
        </w:tc>
      </w:tr>
      <w:tr w:rsidR="00AD4C2F">
        <w:tblPrEx>
          <w:tblCellMar>
            <w:top w:w="0" w:type="dxa"/>
            <w:bottom w:w="0" w:type="dxa"/>
          </w:tblCellMar>
        </w:tblPrEx>
        <w:trPr>
          <w:trHeight w:val="70"/>
          <w:jc w:val="center"/>
        </w:trPr>
        <w:tc>
          <w:tcPr>
            <w:tcW w:w="4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Web"/>
              <w:spacing w:before="0" w:after="0" w:line="440" w:lineRule="exact"/>
              <w:jc w:val="both"/>
              <w:rPr>
                <w:rFonts w:ascii="標楷體" w:eastAsia="標楷體" w:hAnsi="標楷體" w:cs="Times New Roman"/>
                <w:color w:val="000000"/>
                <w:kern w:val="3"/>
              </w:rPr>
            </w:pPr>
            <w:r>
              <w:rPr>
                <w:rFonts w:ascii="標楷體" w:eastAsia="標楷體" w:hAnsi="標楷體" w:cs="Times New Roman"/>
                <w:color w:val="000000"/>
                <w:kern w:val="3"/>
              </w:rPr>
              <w:t>超過三千萬元部分</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十</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二十</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三十</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四十</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4C2F" w:rsidRDefault="00BF296A">
            <w:pPr>
              <w:pStyle w:val="Textbody"/>
              <w:jc w:val="center"/>
              <w:rPr>
                <w:rFonts w:ascii="標楷體" w:eastAsia="標楷體" w:hAnsi="標楷體"/>
                <w:color w:val="000000"/>
              </w:rPr>
            </w:pPr>
            <w:r>
              <w:rPr>
                <w:rFonts w:ascii="標楷體" w:eastAsia="標楷體" w:hAnsi="標楷體"/>
                <w:color w:val="000000"/>
              </w:rPr>
              <w:t>五十</w:t>
            </w:r>
          </w:p>
        </w:tc>
      </w:tr>
    </w:tbl>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六</w:t>
      </w:r>
      <w:r>
        <w:rPr>
          <w:rFonts w:ascii="標楷體" w:eastAsia="標楷體" w:hAnsi="標楷體"/>
          <w:color w:val="000000"/>
        </w:rPr>
        <w:t>)</w:t>
      </w:r>
      <w:proofErr w:type="gramStart"/>
      <w:r>
        <w:rPr>
          <w:rFonts w:ascii="標楷體" w:eastAsia="標楷體" w:hAnsi="標楷體"/>
          <w:color w:val="000000"/>
        </w:rPr>
        <w:t>倘為天然</w:t>
      </w:r>
      <w:proofErr w:type="gramEnd"/>
      <w:r>
        <w:rPr>
          <w:rFonts w:ascii="標楷體" w:eastAsia="標楷體" w:hAnsi="標楷體"/>
          <w:color w:val="000000"/>
        </w:rPr>
        <w:t>災害受損重建者，補助比率不受前開規定所限；</w:t>
      </w:r>
      <w:proofErr w:type="gramStart"/>
      <w:r>
        <w:rPr>
          <w:rFonts w:ascii="標楷體" w:eastAsia="標楷體" w:hAnsi="標楷體"/>
          <w:color w:val="000000"/>
        </w:rPr>
        <w:t>惟</w:t>
      </w:r>
      <w:proofErr w:type="gramEnd"/>
      <w:r>
        <w:rPr>
          <w:rFonts w:ascii="標楷體" w:eastAsia="標楷體" w:hAnsi="標楷體"/>
          <w:color w:val="000000"/>
        </w:rPr>
        <w:t>依據中央對地方政府補助辦法規定，其補助比率不得超過百分之九十。</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七</w:t>
      </w:r>
      <w:r>
        <w:rPr>
          <w:rFonts w:ascii="標楷體" w:eastAsia="標楷體" w:hAnsi="標楷體"/>
          <w:color w:val="000000"/>
        </w:rPr>
        <w:t>)</w:t>
      </w:r>
      <w:r>
        <w:rPr>
          <w:rFonts w:ascii="標楷體" w:eastAsia="標楷體" w:hAnsi="標楷體"/>
          <w:color w:val="000000"/>
        </w:rPr>
        <w:t>倘地方政府未能</w:t>
      </w:r>
      <w:proofErr w:type="gramStart"/>
      <w:r>
        <w:rPr>
          <w:rFonts w:ascii="標楷體" w:eastAsia="標楷體" w:hAnsi="標楷體"/>
          <w:color w:val="000000"/>
        </w:rPr>
        <w:t>配合本署重要</w:t>
      </w:r>
      <w:proofErr w:type="gramEnd"/>
      <w:r>
        <w:rPr>
          <w:rFonts w:ascii="標楷體" w:eastAsia="標楷體" w:hAnsi="標楷體"/>
          <w:color w:val="000000"/>
        </w:rPr>
        <w:t>政策推動，本要點之補助比率將視情形予以扣減。</w:t>
      </w:r>
    </w:p>
    <w:p w:rsidR="00AD4C2F" w:rsidRDefault="00BF296A">
      <w:pPr>
        <w:pStyle w:val="Web"/>
        <w:shd w:val="clear" w:color="auto" w:fill="FFFFFF"/>
        <w:spacing w:before="0" w:after="0" w:line="440" w:lineRule="exact"/>
        <w:rPr>
          <w:rFonts w:ascii="標楷體" w:eastAsia="標楷體" w:hAnsi="標楷體"/>
          <w:color w:val="000000"/>
        </w:rPr>
      </w:pPr>
      <w:r>
        <w:rPr>
          <w:rFonts w:ascii="標楷體" w:eastAsia="標楷體" w:hAnsi="標楷體"/>
          <w:color w:val="000000"/>
        </w:rPr>
        <w:t>五、經費請撥、執行及核銷：</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以地方政府自籌經費為優先，經費有不足者，</w:t>
      </w:r>
      <w:proofErr w:type="gramStart"/>
      <w:r>
        <w:rPr>
          <w:rFonts w:ascii="標楷體" w:eastAsia="標楷體" w:hAnsi="標楷體"/>
          <w:color w:val="000000"/>
        </w:rPr>
        <w:t>本署得</w:t>
      </w:r>
      <w:proofErr w:type="gramEnd"/>
      <w:r>
        <w:rPr>
          <w:rFonts w:ascii="標楷體" w:eastAsia="標楷體" w:hAnsi="標楷體"/>
          <w:color w:val="000000"/>
        </w:rPr>
        <w:t>自國民教育相關經費項下補助之。</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本補助款應專款專用，會計帳目應明確清楚：經費請撥、支用、核銷結報及結餘款依「教育部補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助及委辦經費</w:t>
      </w:r>
      <w:proofErr w:type="gramStart"/>
      <w:r>
        <w:rPr>
          <w:rFonts w:ascii="標楷體" w:eastAsia="標楷體" w:hAnsi="標楷體"/>
          <w:color w:val="000000"/>
        </w:rPr>
        <w:t>核撥結報</w:t>
      </w:r>
      <w:proofErr w:type="gramEnd"/>
      <w:r>
        <w:rPr>
          <w:rFonts w:ascii="標楷體" w:eastAsia="標楷體" w:hAnsi="標楷體"/>
          <w:color w:val="000000"/>
        </w:rPr>
        <w:t>作業要點」</w:t>
      </w:r>
      <w:proofErr w:type="gramStart"/>
      <w:r>
        <w:rPr>
          <w:rFonts w:ascii="標楷體" w:eastAsia="標楷體" w:hAnsi="標楷體"/>
          <w:color w:val="000000"/>
        </w:rPr>
        <w:t>及本署相關</w:t>
      </w:r>
      <w:proofErr w:type="gramEnd"/>
      <w:r>
        <w:rPr>
          <w:rFonts w:ascii="標楷體" w:eastAsia="標楷體" w:hAnsi="標楷體"/>
          <w:color w:val="000000"/>
        </w:rPr>
        <w:t>規定辦理。</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受補助學校申請經費調整，應符合未涉及用途別變更</w:t>
      </w:r>
      <w:r>
        <w:rPr>
          <w:rFonts w:ascii="標楷體" w:eastAsia="標楷體" w:hAnsi="標楷體"/>
          <w:color w:val="000000"/>
        </w:rPr>
        <w:t>之原則。</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計畫經費執行率未達百分之八十或涉有未執行項目者，皆應辦理餘款繳回，結餘經費免</w:t>
      </w:r>
      <w:proofErr w:type="gramStart"/>
      <w:r>
        <w:rPr>
          <w:rFonts w:ascii="標楷體" w:eastAsia="標楷體" w:hAnsi="標楷體"/>
          <w:color w:val="000000"/>
        </w:rPr>
        <w:t>繳回者</w:t>
      </w:r>
      <w:proofErr w:type="gramEnd"/>
      <w:r>
        <w:rPr>
          <w:rFonts w:ascii="標楷體" w:eastAsia="標楷體" w:hAnsi="標楷體"/>
          <w:color w:val="000000"/>
        </w:rPr>
        <w:t>，倘有計畫調整之需求，由地方政府本權責認定。</w:t>
      </w:r>
    </w:p>
    <w:p w:rsidR="00AD4C2F" w:rsidRDefault="00BF296A">
      <w:pPr>
        <w:pStyle w:val="Textbody"/>
        <w:ind w:left="530" w:hanging="530"/>
        <w:rPr>
          <w:rFonts w:ascii="標楷體" w:eastAsia="標楷體" w:hAnsi="標楷體"/>
          <w:color w:val="000000"/>
          <w:sz w:val="26"/>
          <w:szCs w:val="26"/>
        </w:rPr>
      </w:pPr>
      <w:r>
        <w:rPr>
          <w:rFonts w:ascii="標楷體" w:eastAsia="標楷體" w:hAnsi="標楷體"/>
          <w:color w:val="000000"/>
          <w:sz w:val="26"/>
          <w:szCs w:val="26"/>
        </w:rPr>
        <w:t>六、成效考核：</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補助經費經核定並公告後，地方政府應立即轉知學校執行與辦理撥款及發包作業，並依核定計畫監督學校確實執行。</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計畫執行中，如因天災等不可抗力因素致執行遭遇困難，影響計畫執行時，地方政府得</w:t>
      </w:r>
      <w:proofErr w:type="gramStart"/>
      <w:r>
        <w:rPr>
          <w:rFonts w:ascii="標楷體" w:eastAsia="標楷體" w:hAnsi="標楷體"/>
          <w:color w:val="000000"/>
        </w:rPr>
        <w:t>報本署辦理期程展延</w:t>
      </w:r>
      <w:proofErr w:type="gramEnd"/>
      <w:r>
        <w:rPr>
          <w:rFonts w:ascii="標楷體" w:eastAsia="標楷體" w:hAnsi="標楷體"/>
          <w:color w:val="000000"/>
        </w:rPr>
        <w:t>或經費保留。</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獲核定補助學校因故註銷計畫不予辦理，該校兩年不得申請本專案補助經費。</w:t>
      </w:r>
    </w:p>
    <w:p w:rsidR="00AD4C2F" w:rsidRDefault="00BF296A">
      <w:pPr>
        <w:pStyle w:val="Textbody"/>
        <w:snapToGrid w:val="0"/>
        <w:spacing w:line="400" w:lineRule="exact"/>
        <w:ind w:left="600" w:hanging="4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為控管地方政府及學校補助計畫執行成效，</w:t>
      </w:r>
      <w:proofErr w:type="gramStart"/>
      <w:r>
        <w:rPr>
          <w:rFonts w:ascii="標楷體" w:eastAsia="標楷體" w:hAnsi="標楷體"/>
          <w:color w:val="000000"/>
        </w:rPr>
        <w:t>本署將</w:t>
      </w:r>
      <w:proofErr w:type="gramEnd"/>
      <w:r>
        <w:rPr>
          <w:rFonts w:ascii="標楷體" w:eastAsia="標楷體" w:hAnsi="標楷體"/>
          <w:color w:val="000000"/>
        </w:rPr>
        <w:t>於每年辦理前一年度補助案件實地抽訪作業，必要時得另行召開檢討會；抽訪結果作為下年度經費補助之參考。</w:t>
      </w:r>
    </w:p>
    <w:p w:rsidR="00AD4C2F" w:rsidRDefault="00BF296A">
      <w:pPr>
        <w:pStyle w:val="Textbody"/>
        <w:snapToGrid w:val="0"/>
        <w:spacing w:line="400" w:lineRule="exact"/>
        <w:ind w:left="600" w:hanging="480"/>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各地方政府應就當年度獲補助案件數，辦理至少百分之二十之督導訪視，並將訪視成果函</w:t>
      </w:r>
      <w:proofErr w:type="gramStart"/>
      <w:r>
        <w:rPr>
          <w:rFonts w:ascii="標楷體" w:eastAsia="標楷體" w:hAnsi="標楷體"/>
          <w:color w:val="000000"/>
        </w:rPr>
        <w:t>報本署</w:t>
      </w:r>
      <w:proofErr w:type="gramEnd"/>
      <w:r>
        <w:rPr>
          <w:rFonts w:ascii="標楷體" w:eastAsia="標楷體" w:hAnsi="標楷體"/>
          <w:color w:val="000000"/>
        </w:rPr>
        <w:t>。</w:t>
      </w:r>
    </w:p>
    <w:sectPr w:rsidR="00AD4C2F">
      <w:pgSz w:w="11906" w:h="16838"/>
      <w:pgMar w:top="964" w:right="1080" w:bottom="567" w:left="1080" w:header="720" w:footer="720" w:gutter="0"/>
      <w:pgNumType w:start="3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6A" w:rsidRDefault="00BF296A">
      <w:r>
        <w:separator/>
      </w:r>
    </w:p>
  </w:endnote>
  <w:endnote w:type="continuationSeparator" w:id="0">
    <w:p w:rsidR="00BF296A" w:rsidRDefault="00BF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6A" w:rsidRDefault="00BF296A">
      <w:r>
        <w:rPr>
          <w:color w:val="000000"/>
        </w:rPr>
        <w:separator/>
      </w:r>
    </w:p>
  </w:footnote>
  <w:footnote w:type="continuationSeparator" w:id="0">
    <w:p w:rsidR="00BF296A" w:rsidRDefault="00BF2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D4C2F"/>
    <w:rsid w:val="00770712"/>
    <w:rsid w:val="00AD4C2F"/>
    <w:rsid w:val="00BF29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Cs w:val="20"/>
    </w:rPr>
  </w:style>
  <w:style w:type="paragraph" w:styleId="a5">
    <w:name w:val="Balloon Text"/>
    <w:basedOn w:val="Textbody"/>
    <w:rPr>
      <w:rFonts w:ascii="Arial" w:hAnsi="Arial"/>
      <w:sz w:val="18"/>
      <w:szCs w:val="18"/>
    </w:rPr>
  </w:style>
  <w:style w:type="paragraph" w:customStyle="1" w:styleId="c16">
    <w:name w:val="c16"/>
    <w:basedOn w:val="Textbody"/>
    <w:pPr>
      <w:widowControl/>
      <w:spacing w:before="100" w:after="100"/>
      <w:ind w:left="552" w:hanging="552"/>
    </w:pPr>
    <w:rPr>
      <w:rFonts w:ascii="標楷體" w:eastAsia="標楷體" w:hAnsi="標楷體"/>
      <w:kern w:val="0"/>
      <w:sz w:val="32"/>
      <w:szCs w:val="32"/>
    </w:rPr>
  </w:style>
  <w:style w:type="paragraph" w:customStyle="1" w:styleId="c12">
    <w:name w:val="c12"/>
    <w:basedOn w:val="Textbody"/>
    <w:pPr>
      <w:widowControl/>
      <w:spacing w:before="100" w:after="100"/>
    </w:pPr>
    <w:rPr>
      <w:rFonts w:ascii="新細明體" w:hAnsi="新細明體"/>
      <w:kern w:val="0"/>
    </w:rPr>
  </w:style>
  <w:style w:type="paragraph" w:styleId="a6">
    <w:name w:val="Date"/>
    <w:basedOn w:val="Textbody"/>
    <w:next w:val="Textbody"/>
    <w:pPr>
      <w:jc w:val="right"/>
    </w:pPr>
    <w:rPr>
      <w:sz w:val="36"/>
    </w:rPr>
  </w:style>
  <w:style w:type="paragraph" w:styleId="a7">
    <w:name w:val="Body Text Indent"/>
    <w:basedOn w:val="Textbody"/>
    <w:pPr>
      <w:widowControl/>
      <w:spacing w:line="480" w:lineRule="exact"/>
      <w:ind w:left="600" w:hanging="60"/>
    </w:pPr>
    <w:rPr>
      <w:rFonts w:ascii="標楷體" w:eastAsia="標楷體" w:hAnsi="標楷體"/>
      <w:b/>
      <w:kern w:val="0"/>
      <w:sz w:val="32"/>
    </w:rPr>
  </w:style>
  <w:style w:type="paragraph" w:styleId="2">
    <w:name w:val="Body Text Indent 2"/>
    <w:basedOn w:val="Textbody"/>
    <w:pPr>
      <w:widowControl/>
      <w:spacing w:line="480" w:lineRule="exact"/>
      <w:ind w:left="1260" w:hanging="900"/>
    </w:pPr>
    <w:rPr>
      <w:rFonts w:ascii="標楷體" w:eastAsia="標楷體" w:hAnsi="標楷體"/>
      <w:b/>
      <w:kern w:val="0"/>
      <w:sz w:val="32"/>
    </w:rPr>
  </w:style>
  <w:style w:type="paragraph" w:styleId="a8">
    <w:name w:val="Document Map"/>
    <w:basedOn w:val="Textbody"/>
    <w:pPr>
      <w:shd w:val="clear" w:color="auto" w:fill="000080"/>
    </w:pPr>
    <w:rPr>
      <w:rFonts w:ascii="Arial" w:hAnsi="Arial"/>
    </w:rPr>
  </w:style>
  <w:style w:type="paragraph" w:customStyle="1" w:styleId="c18">
    <w:name w:val="c18"/>
    <w:basedOn w:val="Textbody"/>
    <w:pPr>
      <w:widowControl/>
      <w:spacing w:before="100" w:after="100"/>
      <w:ind w:left="552" w:hanging="552"/>
    </w:pPr>
    <w:rPr>
      <w:rFonts w:ascii="標楷體" w:eastAsia="標楷體" w:hAnsi="標楷體"/>
      <w:kern w:val="0"/>
      <w:sz w:val="36"/>
      <w:szCs w:val="36"/>
    </w:rPr>
  </w:style>
  <w:style w:type="paragraph" w:customStyle="1" w:styleId="c22">
    <w:name w:val="c22"/>
    <w:basedOn w:val="Textbody"/>
    <w:pPr>
      <w:widowControl/>
      <w:spacing w:before="100" w:after="100"/>
      <w:ind w:left="552" w:hanging="552"/>
    </w:pPr>
    <w:rPr>
      <w:rFonts w:ascii="標楷體" w:eastAsia="標楷體" w:hAnsi="標楷體"/>
      <w:kern w:val="0"/>
      <w:sz w:val="44"/>
      <w:szCs w:val="44"/>
    </w:rPr>
  </w:style>
  <w:style w:type="paragraph" w:customStyle="1" w:styleId="4">
    <w:name w:val="樣式4"/>
    <w:basedOn w:val="Contents1"/>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paragraph" w:customStyle="1" w:styleId="Index">
    <w:name w:val="Index"/>
    <w:basedOn w:val="Standard"/>
    <w:pPr>
      <w:suppressLineNumbers/>
    </w:pPr>
  </w:style>
  <w:style w:type="paragraph" w:customStyle="1" w:styleId="Contents1">
    <w:name w:val="Contents 1"/>
    <w:basedOn w:val="Textbody"/>
    <w:next w:val="Textbody"/>
    <w:autoRedefine/>
  </w:style>
  <w:style w:type="paragraph" w:customStyle="1" w:styleId="1">
    <w:name w:val="清單段落1"/>
    <w:basedOn w:val="Textbody"/>
    <w:pPr>
      <w:ind w:left="480"/>
    </w:pPr>
  </w:style>
  <w:style w:type="paragraph" w:styleId="a9">
    <w:name w:val="Plain Text"/>
    <w:basedOn w:val="Textbody"/>
    <w:rPr>
      <w:rFonts w:ascii="細明體" w:eastAsia="細明體" w:hAnsi="細明體" w:cs="細明體"/>
    </w:rPr>
  </w:style>
  <w:style w:type="paragraph" w:styleId="Web">
    <w:name w:val="Normal (Web)"/>
    <w:basedOn w:val="Textbody"/>
    <w:pPr>
      <w:widowControl/>
      <w:spacing w:before="100" w:after="100"/>
    </w:pPr>
    <w:rPr>
      <w:rFonts w:ascii="新細明體" w:hAnsi="新細明體" w:cs="新細明體"/>
      <w:kern w:val="0"/>
    </w:rPr>
  </w:style>
  <w:style w:type="paragraph" w:customStyle="1" w:styleId="TableContents">
    <w:name w:val="Table Contents"/>
    <w:basedOn w:val="Standard"/>
    <w:pPr>
      <w:suppressLineNumbers/>
    </w:pPr>
  </w:style>
  <w:style w:type="character" w:styleId="aa">
    <w:name w:val="page number"/>
    <w:basedOn w:val="a0"/>
  </w:style>
  <w:style w:type="character" w:styleId="ab">
    <w:name w:val="line number"/>
    <w:basedOn w:val="a0"/>
  </w:style>
  <w:style w:type="character" w:customStyle="1" w:styleId="40">
    <w:name w:val="樣式4 字元"/>
    <w:rPr>
      <w:rFonts w:ascii="標楷體" w:eastAsia="標楷體" w:hAnsi="標楷體"/>
      <w:b/>
      <w:sz w:val="28"/>
    </w:rPr>
  </w:style>
  <w:style w:type="character" w:customStyle="1" w:styleId="ac">
    <w:name w:val="純文字 字元"/>
    <w:rPr>
      <w:rFonts w:ascii="細明體" w:eastAsia="細明體" w:hAnsi="細明體" w:cs="細明體"/>
      <w:kern w:val="3"/>
      <w:sz w:val="24"/>
      <w:szCs w:val="24"/>
    </w:rPr>
  </w:style>
  <w:style w:type="character" w:customStyle="1" w:styleId="ad">
    <w:name w:val="頁尾 字元"/>
    <w:rPr>
      <w:kern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Cs w:val="20"/>
    </w:rPr>
  </w:style>
  <w:style w:type="paragraph" w:styleId="a5">
    <w:name w:val="Balloon Text"/>
    <w:basedOn w:val="Textbody"/>
    <w:rPr>
      <w:rFonts w:ascii="Arial" w:hAnsi="Arial"/>
      <w:sz w:val="18"/>
      <w:szCs w:val="18"/>
    </w:rPr>
  </w:style>
  <w:style w:type="paragraph" w:customStyle="1" w:styleId="c16">
    <w:name w:val="c16"/>
    <w:basedOn w:val="Textbody"/>
    <w:pPr>
      <w:widowControl/>
      <w:spacing w:before="100" w:after="100"/>
      <w:ind w:left="552" w:hanging="552"/>
    </w:pPr>
    <w:rPr>
      <w:rFonts w:ascii="標楷體" w:eastAsia="標楷體" w:hAnsi="標楷體"/>
      <w:kern w:val="0"/>
      <w:sz w:val="32"/>
      <w:szCs w:val="32"/>
    </w:rPr>
  </w:style>
  <w:style w:type="paragraph" w:customStyle="1" w:styleId="c12">
    <w:name w:val="c12"/>
    <w:basedOn w:val="Textbody"/>
    <w:pPr>
      <w:widowControl/>
      <w:spacing w:before="100" w:after="100"/>
    </w:pPr>
    <w:rPr>
      <w:rFonts w:ascii="新細明體" w:hAnsi="新細明體"/>
      <w:kern w:val="0"/>
    </w:rPr>
  </w:style>
  <w:style w:type="paragraph" w:styleId="a6">
    <w:name w:val="Date"/>
    <w:basedOn w:val="Textbody"/>
    <w:next w:val="Textbody"/>
    <w:pPr>
      <w:jc w:val="right"/>
    </w:pPr>
    <w:rPr>
      <w:sz w:val="36"/>
    </w:rPr>
  </w:style>
  <w:style w:type="paragraph" w:styleId="a7">
    <w:name w:val="Body Text Indent"/>
    <w:basedOn w:val="Textbody"/>
    <w:pPr>
      <w:widowControl/>
      <w:spacing w:line="480" w:lineRule="exact"/>
      <w:ind w:left="600" w:hanging="60"/>
    </w:pPr>
    <w:rPr>
      <w:rFonts w:ascii="標楷體" w:eastAsia="標楷體" w:hAnsi="標楷體"/>
      <w:b/>
      <w:kern w:val="0"/>
      <w:sz w:val="32"/>
    </w:rPr>
  </w:style>
  <w:style w:type="paragraph" w:styleId="2">
    <w:name w:val="Body Text Indent 2"/>
    <w:basedOn w:val="Textbody"/>
    <w:pPr>
      <w:widowControl/>
      <w:spacing w:line="480" w:lineRule="exact"/>
      <w:ind w:left="1260" w:hanging="900"/>
    </w:pPr>
    <w:rPr>
      <w:rFonts w:ascii="標楷體" w:eastAsia="標楷體" w:hAnsi="標楷體"/>
      <w:b/>
      <w:kern w:val="0"/>
      <w:sz w:val="32"/>
    </w:rPr>
  </w:style>
  <w:style w:type="paragraph" w:styleId="a8">
    <w:name w:val="Document Map"/>
    <w:basedOn w:val="Textbody"/>
    <w:pPr>
      <w:shd w:val="clear" w:color="auto" w:fill="000080"/>
    </w:pPr>
    <w:rPr>
      <w:rFonts w:ascii="Arial" w:hAnsi="Arial"/>
    </w:rPr>
  </w:style>
  <w:style w:type="paragraph" w:customStyle="1" w:styleId="c18">
    <w:name w:val="c18"/>
    <w:basedOn w:val="Textbody"/>
    <w:pPr>
      <w:widowControl/>
      <w:spacing w:before="100" w:after="100"/>
      <w:ind w:left="552" w:hanging="552"/>
    </w:pPr>
    <w:rPr>
      <w:rFonts w:ascii="標楷體" w:eastAsia="標楷體" w:hAnsi="標楷體"/>
      <w:kern w:val="0"/>
      <w:sz w:val="36"/>
      <w:szCs w:val="36"/>
    </w:rPr>
  </w:style>
  <w:style w:type="paragraph" w:customStyle="1" w:styleId="c22">
    <w:name w:val="c22"/>
    <w:basedOn w:val="Textbody"/>
    <w:pPr>
      <w:widowControl/>
      <w:spacing w:before="100" w:after="100"/>
      <w:ind w:left="552" w:hanging="552"/>
    </w:pPr>
    <w:rPr>
      <w:rFonts w:ascii="標楷體" w:eastAsia="標楷體" w:hAnsi="標楷體"/>
      <w:kern w:val="0"/>
      <w:sz w:val="44"/>
      <w:szCs w:val="44"/>
    </w:rPr>
  </w:style>
  <w:style w:type="paragraph" w:customStyle="1" w:styleId="4">
    <w:name w:val="樣式4"/>
    <w:basedOn w:val="Contents1"/>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paragraph" w:customStyle="1" w:styleId="Index">
    <w:name w:val="Index"/>
    <w:basedOn w:val="Standard"/>
    <w:pPr>
      <w:suppressLineNumbers/>
    </w:pPr>
  </w:style>
  <w:style w:type="paragraph" w:customStyle="1" w:styleId="Contents1">
    <w:name w:val="Contents 1"/>
    <w:basedOn w:val="Textbody"/>
    <w:next w:val="Textbody"/>
    <w:autoRedefine/>
  </w:style>
  <w:style w:type="paragraph" w:customStyle="1" w:styleId="1">
    <w:name w:val="清單段落1"/>
    <w:basedOn w:val="Textbody"/>
    <w:pPr>
      <w:ind w:left="480"/>
    </w:pPr>
  </w:style>
  <w:style w:type="paragraph" w:styleId="a9">
    <w:name w:val="Plain Text"/>
    <w:basedOn w:val="Textbody"/>
    <w:rPr>
      <w:rFonts w:ascii="細明體" w:eastAsia="細明體" w:hAnsi="細明體" w:cs="細明體"/>
    </w:rPr>
  </w:style>
  <w:style w:type="paragraph" w:styleId="Web">
    <w:name w:val="Normal (Web)"/>
    <w:basedOn w:val="Textbody"/>
    <w:pPr>
      <w:widowControl/>
      <w:spacing w:before="100" w:after="100"/>
    </w:pPr>
    <w:rPr>
      <w:rFonts w:ascii="新細明體" w:hAnsi="新細明體" w:cs="新細明體"/>
      <w:kern w:val="0"/>
    </w:rPr>
  </w:style>
  <w:style w:type="paragraph" w:customStyle="1" w:styleId="TableContents">
    <w:name w:val="Table Contents"/>
    <w:basedOn w:val="Standard"/>
    <w:pPr>
      <w:suppressLineNumbers/>
    </w:pPr>
  </w:style>
  <w:style w:type="character" w:styleId="aa">
    <w:name w:val="page number"/>
    <w:basedOn w:val="a0"/>
  </w:style>
  <w:style w:type="character" w:styleId="ab">
    <w:name w:val="line number"/>
    <w:basedOn w:val="a0"/>
  </w:style>
  <w:style w:type="character" w:customStyle="1" w:styleId="40">
    <w:name w:val="樣式4 字元"/>
    <w:rPr>
      <w:rFonts w:ascii="標楷體" w:eastAsia="標楷體" w:hAnsi="標楷體"/>
      <w:b/>
      <w:sz w:val="28"/>
    </w:rPr>
  </w:style>
  <w:style w:type="character" w:customStyle="1" w:styleId="ac">
    <w:name w:val="純文字 字元"/>
    <w:rPr>
      <w:rFonts w:ascii="細明體" w:eastAsia="細明體" w:hAnsi="細明體" w:cs="細明體"/>
      <w:kern w:val="3"/>
      <w:sz w:val="24"/>
      <w:szCs w:val="24"/>
    </w:rPr>
  </w:style>
  <w:style w:type="character" w:customStyle="1" w:styleId="ad">
    <w:name w:val="頁尾 字元"/>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25945;&#32946;&#37096;&#22283;&#27665;&#21450;&#23416;&#21069;&#25945;&#32946;&#32626;&#35036;&#21161;&#22283;&#27665;&#20013;&#23567;&#23416;&#20805;&#23526;&#35373;&#26045;&#35373;&#20633;&#20316;&#26989;&#35201;&#4067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教育經費分配審議委員會第     次特定教育補助審議表</dc:title>
  <dc:creator>moe</dc:creator>
  <cp:lastModifiedBy>TcSSH</cp:lastModifiedBy>
  <cp:revision>1</cp:revision>
  <cp:lastPrinted>2019-03-26T03:50:00Z</cp:lastPrinted>
  <dcterms:created xsi:type="dcterms:W3CDTF">2019-07-29T08:58:00Z</dcterms:created>
  <dcterms:modified xsi:type="dcterms:W3CDTF">2019-08-28T01:06:00Z</dcterms:modified>
</cp:coreProperties>
</file>