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DE" w:rsidRDefault="00777CA6">
      <w:pPr>
        <w:pStyle w:val="Standard"/>
        <w:spacing w:before="454" w:after="227"/>
        <w:jc w:val="center"/>
        <w:rPr>
          <w:rFonts w:ascii="標楷體" w:hAnsi="標楷體"/>
          <w:b/>
          <w:color w:val="000000"/>
          <w:sz w:val="36"/>
          <w:szCs w:val="36"/>
        </w:rPr>
      </w:pPr>
      <w:bookmarkStart w:id="0" w:name="_GoBack"/>
      <w:bookmarkEnd w:id="0"/>
      <w:r>
        <w:rPr>
          <w:rFonts w:ascii="標楷體" w:hAnsi="標楷體"/>
          <w:b/>
          <w:color w:val="000000"/>
          <w:sz w:val="36"/>
          <w:szCs w:val="36"/>
        </w:rPr>
        <w:t>學術機構運作毒性及關注化學物質管理辦法修正條文</w:t>
      </w:r>
    </w:p>
    <w:p w:rsidR="00B653DE" w:rsidRDefault="00777CA6">
      <w:pPr>
        <w:pStyle w:val="Standard"/>
        <w:spacing w:line="500" w:lineRule="exact"/>
        <w:ind w:left="848" w:hanging="848"/>
        <w:rPr>
          <w:rFonts w:ascii="標楷體" w:hAnsi="標楷體"/>
          <w:color w:val="000000"/>
          <w:szCs w:val="28"/>
        </w:rPr>
      </w:pPr>
      <w:r>
        <w:rPr>
          <w:rFonts w:ascii="標楷體" w:hAnsi="標楷體"/>
          <w:color w:val="000000"/>
          <w:szCs w:val="28"/>
        </w:rPr>
        <w:t>第一條</w:t>
      </w:r>
      <w:r>
        <w:rPr>
          <w:rFonts w:ascii="標楷體" w:hAnsi="標楷體"/>
          <w:color w:val="000000"/>
          <w:szCs w:val="28"/>
        </w:rPr>
        <w:t xml:space="preserve">    </w:t>
      </w:r>
      <w:r>
        <w:rPr>
          <w:rFonts w:ascii="標楷體" w:hAnsi="標楷體"/>
          <w:color w:val="000000"/>
          <w:szCs w:val="28"/>
        </w:rPr>
        <w:t>本辦法依毒性及關注化學物質管理法（以下簡稱本法）第二十三條第一款及第二十九條規定訂定之。</w:t>
      </w:r>
    </w:p>
    <w:p w:rsidR="00B653DE" w:rsidRDefault="00777CA6">
      <w:pPr>
        <w:pStyle w:val="Standard"/>
        <w:spacing w:line="500" w:lineRule="exact"/>
        <w:ind w:left="848" w:hanging="848"/>
        <w:rPr>
          <w:rFonts w:ascii="標楷體" w:hAnsi="標楷體"/>
          <w:color w:val="000000"/>
          <w:szCs w:val="28"/>
        </w:rPr>
      </w:pPr>
      <w:r>
        <w:rPr>
          <w:rFonts w:ascii="標楷體" w:hAnsi="標楷體"/>
          <w:color w:val="000000"/>
          <w:szCs w:val="28"/>
        </w:rPr>
        <w:t>第二條</w:t>
      </w:r>
      <w:r>
        <w:rPr>
          <w:rFonts w:ascii="標楷體" w:hAnsi="標楷體"/>
          <w:color w:val="000000"/>
          <w:szCs w:val="28"/>
        </w:rPr>
        <w:t xml:space="preserve">    </w:t>
      </w:r>
      <w:r>
        <w:rPr>
          <w:rFonts w:ascii="標楷體" w:hAnsi="標楷體"/>
          <w:color w:val="000000"/>
          <w:szCs w:val="28"/>
        </w:rPr>
        <w:t>本辦法用詞，定義如下：</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一、學術機構：指運作毒性及關注化學物質之各級公私立學校、教育部主管之社會教育機構及學術研究機構。但軍事、警察校院及矯正學校，不在此限。</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二、運作單位：指學術機構內運作毒性及關注化學物質之實驗（試驗）室及實習（試驗）場所。</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三、運作管理單位：指學術機構內負責所轄運作單位之毒性及關注化學物質行政管理事宜之單位。</w:t>
      </w:r>
    </w:p>
    <w:p w:rsidR="00B653DE" w:rsidRDefault="00777CA6">
      <w:pPr>
        <w:pStyle w:val="Standard"/>
        <w:spacing w:line="500" w:lineRule="exact"/>
        <w:ind w:left="848" w:hanging="848"/>
        <w:rPr>
          <w:rFonts w:ascii="標楷體" w:hAnsi="標楷體"/>
          <w:color w:val="000000"/>
          <w:szCs w:val="28"/>
        </w:rPr>
      </w:pPr>
      <w:r>
        <w:rPr>
          <w:rFonts w:ascii="標楷體" w:hAnsi="標楷體"/>
          <w:color w:val="000000"/>
          <w:szCs w:val="28"/>
        </w:rPr>
        <w:t>第三條</w:t>
      </w:r>
      <w:r>
        <w:rPr>
          <w:rFonts w:ascii="標楷體" w:hAnsi="標楷體"/>
          <w:color w:val="000000"/>
          <w:szCs w:val="28"/>
        </w:rPr>
        <w:t xml:space="preserve">    </w:t>
      </w:r>
      <w:r>
        <w:rPr>
          <w:rFonts w:ascii="標楷體" w:hAnsi="標楷體"/>
          <w:color w:val="000000"/>
          <w:szCs w:val="28"/>
        </w:rPr>
        <w:t>為妥善管理毒性及關注化學物質之運作，學術機構之管理權責如下：</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一、毒性及關注化學物質運作管理規定之訂定及實施。</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二、毒性及關注化學物質危害預防及應變計畫之訂定及實施。</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三、運作毒性及關注化學物質之監督管理。</w:t>
      </w:r>
    </w:p>
    <w:p w:rsidR="00B653DE" w:rsidRDefault="00777CA6">
      <w:pPr>
        <w:pStyle w:val="Standard"/>
        <w:widowControl/>
        <w:spacing w:line="500" w:lineRule="exact"/>
        <w:ind w:left="1984" w:hanging="568"/>
        <w:rPr>
          <w:rFonts w:ascii="標楷體" w:hAnsi="標楷體" w:cs="Times New Roman"/>
          <w:color w:val="000000"/>
          <w:szCs w:val="28"/>
        </w:rPr>
      </w:pPr>
      <w:r>
        <w:rPr>
          <w:rFonts w:ascii="標楷體" w:hAnsi="標楷體" w:cs="Times New Roman"/>
          <w:color w:val="000000"/>
          <w:szCs w:val="28"/>
        </w:rPr>
        <w:t>四、毒性及關注化學物質運作紀錄表之彙整及定期申報。</w:t>
      </w:r>
    </w:p>
    <w:p w:rsidR="00B653DE" w:rsidRDefault="00777CA6">
      <w:pPr>
        <w:pStyle w:val="Standard"/>
        <w:spacing w:line="480" w:lineRule="exact"/>
        <w:ind w:left="848" w:right="-95" w:hanging="848"/>
        <w:rPr>
          <w:rFonts w:ascii="標楷體" w:hAnsi="標楷體"/>
          <w:color w:val="000000"/>
          <w:szCs w:val="28"/>
        </w:rPr>
      </w:pPr>
      <w:r>
        <w:rPr>
          <w:rFonts w:ascii="標楷體" w:hAnsi="標楷體"/>
          <w:color w:val="000000"/>
          <w:szCs w:val="28"/>
        </w:rPr>
        <w:t>第四條</w:t>
      </w:r>
      <w:r>
        <w:rPr>
          <w:rFonts w:ascii="標楷體" w:hAnsi="標楷體"/>
          <w:color w:val="000000"/>
          <w:szCs w:val="28"/>
        </w:rPr>
        <w:t xml:space="preserve">    </w:t>
      </w:r>
      <w:r>
        <w:rPr>
          <w:rFonts w:ascii="標楷體" w:hAnsi="標楷體"/>
          <w:color w:val="000000"/>
          <w:szCs w:val="28"/>
        </w:rPr>
        <w:t>學術機構應設管理委員會（以下簡稱委員會），審議毒性</w:t>
      </w:r>
      <w:r>
        <w:rPr>
          <w:rFonts w:ascii="標楷體" w:hAnsi="標楷體"/>
          <w:color w:val="000000"/>
          <w:szCs w:val="28"/>
        </w:rPr>
        <w:t>及關注化學物質運作事項，委員會應置委員五人至七人</w:t>
      </w:r>
      <w:r>
        <w:rPr>
          <w:rFonts w:ascii="標楷體" w:hAnsi="標楷體"/>
          <w:color w:val="000000"/>
          <w:szCs w:val="28"/>
        </w:rPr>
        <w:t>，其中至少應有二人具備毒性及關注化學物質毒理、運作技術、災防或管理專長。</w:t>
      </w:r>
    </w:p>
    <w:p w:rsidR="00B653DE" w:rsidRDefault="00777CA6">
      <w:pPr>
        <w:pStyle w:val="Standard"/>
        <w:widowControl/>
        <w:spacing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前項委員會之組成及運作，由學術機構定之。</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高級中等以下學校、教育部主管之社會教育機構及學術研究機構運作毒性及關注化學物質，低於中央主管機關依本法第十一條第二項、第二十四條第三項公告之分級運作量</w:t>
      </w:r>
      <w:r>
        <w:rPr>
          <w:rFonts w:ascii="標楷體" w:hAnsi="標楷體"/>
          <w:color w:val="000000"/>
          <w:szCs w:val="28"/>
        </w:rPr>
        <w:t>(</w:t>
      </w:r>
      <w:r>
        <w:rPr>
          <w:rFonts w:ascii="標楷體" w:hAnsi="標楷體"/>
          <w:color w:val="000000"/>
          <w:szCs w:val="28"/>
        </w:rPr>
        <w:t>以下簡稱分級運作量</w:t>
      </w:r>
      <w:r>
        <w:rPr>
          <w:rFonts w:ascii="標楷體" w:hAnsi="標楷體"/>
          <w:color w:val="000000"/>
          <w:szCs w:val="28"/>
        </w:rPr>
        <w:t>)</w:t>
      </w:r>
      <w:r>
        <w:rPr>
          <w:rFonts w:ascii="標楷體" w:hAnsi="標楷體"/>
          <w:color w:val="000000"/>
          <w:szCs w:val="28"/>
        </w:rPr>
        <w:t>者，得免依第一項規定設立委員會，並不</w:t>
      </w:r>
      <w:r>
        <w:rPr>
          <w:rFonts w:ascii="標楷體" w:hAnsi="標楷體"/>
          <w:color w:val="000000"/>
          <w:szCs w:val="28"/>
        </w:rPr>
        <w:lastRenderedPageBreak/>
        <w:t>受第五條、第八條、第九條、第十一條及第十三條應經委員會審議之限制。</w:t>
      </w:r>
    </w:p>
    <w:p w:rsidR="00B653DE" w:rsidRDefault="00777CA6">
      <w:pPr>
        <w:pStyle w:val="Standard"/>
        <w:spacing w:after="113" w:line="480" w:lineRule="exact"/>
        <w:ind w:left="848" w:hanging="848"/>
        <w:rPr>
          <w:rFonts w:ascii="標楷體" w:hAnsi="標楷體"/>
          <w:color w:val="000000"/>
          <w:szCs w:val="28"/>
        </w:rPr>
      </w:pPr>
      <w:r>
        <w:rPr>
          <w:rFonts w:ascii="標楷體" w:hAnsi="標楷體"/>
          <w:color w:val="000000"/>
          <w:szCs w:val="28"/>
        </w:rPr>
        <w:t>第五條</w:t>
      </w:r>
      <w:r>
        <w:rPr>
          <w:rFonts w:ascii="標楷體" w:hAnsi="標楷體"/>
          <w:color w:val="000000"/>
          <w:szCs w:val="28"/>
        </w:rPr>
        <w:t xml:space="preserve">    </w:t>
      </w:r>
      <w:r>
        <w:rPr>
          <w:rFonts w:ascii="標楷體" w:hAnsi="標楷體"/>
          <w:color w:val="000000"/>
          <w:szCs w:val="28"/>
        </w:rPr>
        <w:t>學術機構運作單一毒性化學物質，其申請登記或核可之文件，應先經委員會審議通過後，依本法第十三條規定辦理；其運作毒性化學物質，區分數運作管理單位者，應分別依運作管理單位申請之。</w:t>
      </w:r>
    </w:p>
    <w:p w:rsidR="00B653DE" w:rsidRDefault="00777CA6">
      <w:pPr>
        <w:pStyle w:val="Standard"/>
        <w:widowControl/>
        <w:spacing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學術機構運作單一關注化學物質運作總量達應申請核可之分級運作量者，其申請核可之文件，應先經委員會審議通過後，依本法第二十五條規定辦理；其運作關注化學物質，區分數運作管理單位者，應分別依運作管理單位申請之。低於應申請核可之分級運作量者，免依本法第二十五條規定辦理。</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學術機構運作毒性及關注化學物質得貯存於學術機構之運作單位內。</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第一類至第三類毒性化學物質停止運作期間超過六個月者，得將所剩毒性化學物質列冊報主管機關核准後，依本法第十九條規定處理。</w:t>
      </w:r>
    </w:p>
    <w:p w:rsidR="00B653DE" w:rsidRDefault="00777CA6">
      <w:pPr>
        <w:pStyle w:val="Standard"/>
        <w:spacing w:after="113" w:line="480" w:lineRule="exact"/>
        <w:ind w:left="848" w:hanging="848"/>
        <w:rPr>
          <w:rFonts w:ascii="標楷體" w:hAnsi="標楷體"/>
          <w:color w:val="000000"/>
          <w:szCs w:val="28"/>
        </w:rPr>
      </w:pPr>
      <w:r>
        <w:rPr>
          <w:rFonts w:ascii="標楷體" w:hAnsi="標楷體"/>
          <w:color w:val="000000"/>
          <w:szCs w:val="28"/>
        </w:rPr>
        <w:t>第六條</w:t>
      </w:r>
      <w:r>
        <w:rPr>
          <w:rFonts w:ascii="標楷體" w:hAnsi="標楷體"/>
          <w:color w:val="000000"/>
          <w:szCs w:val="28"/>
        </w:rPr>
        <w:t xml:space="preserve">    </w:t>
      </w:r>
      <w:r>
        <w:rPr>
          <w:rFonts w:ascii="標楷體" w:hAnsi="標楷體"/>
          <w:color w:val="000000"/>
          <w:szCs w:val="28"/>
        </w:rPr>
        <w:t>學術機構依前條規定登記或核可後，應於單一毒性或關注化學物質運作總量內，依管理需求訂定所轄單一運作單位運作單一毒性或關注化學物質之最大允許運作量。</w:t>
      </w:r>
    </w:p>
    <w:p w:rsidR="00B653DE" w:rsidRDefault="00777CA6">
      <w:pPr>
        <w:pStyle w:val="Standard"/>
        <w:spacing w:line="480" w:lineRule="exact"/>
        <w:ind w:left="848" w:right="-92" w:hanging="848"/>
      </w:pPr>
      <w:r>
        <w:rPr>
          <w:rFonts w:ascii="標楷體" w:hAnsi="標楷體"/>
          <w:color w:val="000000"/>
          <w:szCs w:val="28"/>
        </w:rPr>
        <w:t>第七條</w:t>
      </w:r>
      <w:r>
        <w:rPr>
          <w:rFonts w:ascii="標楷體" w:hAnsi="標楷體"/>
          <w:color w:val="000000"/>
          <w:szCs w:val="28"/>
        </w:rPr>
        <w:t xml:space="preserve">    </w:t>
      </w:r>
      <w:r>
        <w:rPr>
          <w:rFonts w:ascii="標楷體" w:hAnsi="標楷體"/>
          <w:color w:val="000000"/>
          <w:szCs w:val="28"/>
        </w:rPr>
        <w:t>學術機構運作第一類至第三類毒性化學物質或經中央主管機關指定公告具有危害性之關注化學物質（以下簡稱</w:t>
      </w:r>
      <w:r>
        <w:rPr>
          <w:rFonts w:ascii="標楷體" w:hAnsi="標楷體"/>
          <w:color w:val="000000"/>
          <w:szCs w:val="28"/>
        </w:rPr>
        <w:t>危害性關注化學物質</w:t>
      </w:r>
      <w:r>
        <w:rPr>
          <w:rFonts w:ascii="標楷體" w:hAnsi="標楷體" w:cs="標楷體"/>
          <w:color w:val="000000"/>
          <w:szCs w:val="28"/>
        </w:rPr>
        <w:t>)</w:t>
      </w:r>
      <w:r>
        <w:rPr>
          <w:rFonts w:ascii="標楷體" w:hAnsi="標楷體"/>
          <w:color w:val="000000"/>
          <w:szCs w:val="28"/>
        </w:rPr>
        <w:t>，其單一物質運作總量達分級運作量者，學術機構應依本法第十八條規定，置專業技術管理人員。</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學術機構運作前項物質，區分數運作管理單位者，其單一物質運作總量應分別計算之。</w:t>
      </w:r>
    </w:p>
    <w:p w:rsidR="00B653DE" w:rsidRDefault="00777CA6">
      <w:pPr>
        <w:pStyle w:val="Standard"/>
        <w:spacing w:after="113" w:line="480" w:lineRule="exact"/>
        <w:ind w:left="848" w:hanging="848"/>
        <w:rPr>
          <w:rFonts w:ascii="標楷體" w:hAnsi="標楷體"/>
          <w:color w:val="000000"/>
          <w:szCs w:val="28"/>
        </w:rPr>
      </w:pPr>
      <w:r>
        <w:rPr>
          <w:rFonts w:ascii="標楷體" w:hAnsi="標楷體"/>
          <w:color w:val="000000"/>
          <w:szCs w:val="28"/>
        </w:rPr>
        <w:t>第八條</w:t>
      </w:r>
      <w:r>
        <w:rPr>
          <w:rFonts w:ascii="標楷體" w:hAnsi="標楷體"/>
          <w:color w:val="000000"/>
          <w:szCs w:val="28"/>
        </w:rPr>
        <w:t xml:space="preserve">    </w:t>
      </w:r>
      <w:r>
        <w:rPr>
          <w:rFonts w:ascii="標楷體" w:hAnsi="標楷體"/>
          <w:color w:val="000000"/>
          <w:szCs w:val="28"/>
        </w:rPr>
        <w:t>運作單位運作毒性化學物質，應依本法第九條第二項規定之格式確實記錄，逐日填寫毒性化學物質運作紀錄表，並</w:t>
      </w:r>
      <w:r>
        <w:rPr>
          <w:rFonts w:ascii="標楷體" w:hAnsi="標楷體"/>
          <w:color w:val="000000"/>
          <w:szCs w:val="28"/>
        </w:rPr>
        <w:lastRenderedPageBreak/>
        <w:t>以書面或電子檔案方式保存；其各種運作量無變動者，得逐月填寫。</w:t>
      </w:r>
    </w:p>
    <w:p w:rsidR="00B653DE" w:rsidRDefault="00777CA6">
      <w:pPr>
        <w:pStyle w:val="Standard"/>
        <w:widowControl/>
        <w:spacing w:after="113" w:line="480" w:lineRule="exact"/>
        <w:ind w:left="851"/>
      </w:pPr>
      <w:r>
        <w:rPr>
          <w:rFonts w:ascii="標楷體" w:hAnsi="標楷體"/>
          <w:color w:val="000000"/>
          <w:szCs w:val="28"/>
        </w:rPr>
        <w:t xml:space="preserve">    </w:t>
      </w:r>
      <w:r>
        <w:rPr>
          <w:rFonts w:ascii="標楷體" w:hAnsi="標楷體"/>
          <w:color w:val="000000"/>
          <w:szCs w:val="28"/>
        </w:rPr>
        <w:t>前項紀錄表應經委員會審議後，由學術機構採網路傳輸方式於每年一月三十一日、四月三十日、七月三十一日、十月三十一日以前，向毒性化學物質所在地之直轄市、縣</w:t>
      </w:r>
      <w:r>
        <w:rPr>
          <w:rFonts w:ascii="標楷體" w:hAnsi="標楷體"/>
          <w:color w:val="000000"/>
          <w:szCs w:val="28"/>
        </w:rPr>
        <w:t>(</w:t>
      </w:r>
      <w:r>
        <w:rPr>
          <w:rFonts w:ascii="標楷體" w:hAnsi="標楷體"/>
          <w:color w:val="000000"/>
          <w:szCs w:val="28"/>
        </w:rPr>
        <w:t>市</w:t>
      </w:r>
      <w:r>
        <w:rPr>
          <w:rFonts w:ascii="標楷體" w:hAnsi="標楷體"/>
          <w:color w:val="000000"/>
          <w:szCs w:val="28"/>
        </w:rPr>
        <w:t>)</w:t>
      </w:r>
      <w:r>
        <w:rPr>
          <w:rFonts w:ascii="標楷體" w:hAnsi="標楷體"/>
          <w:color w:val="000000"/>
          <w:szCs w:val="28"/>
        </w:rPr>
        <w:t>主管機關申報前三個月毒性化學物質運作紀錄。</w:t>
      </w:r>
    </w:p>
    <w:p w:rsidR="00B653DE" w:rsidRDefault="00777CA6">
      <w:pPr>
        <w:pStyle w:val="Standard"/>
        <w:widowControl/>
        <w:spacing w:after="113" w:line="480" w:lineRule="exact"/>
        <w:ind w:left="851"/>
      </w:pPr>
      <w:r>
        <w:rPr>
          <w:rFonts w:ascii="標楷體" w:hAnsi="標楷體"/>
          <w:color w:val="000000"/>
          <w:szCs w:val="28"/>
        </w:rPr>
        <w:t xml:space="preserve">    </w:t>
      </w:r>
      <w:r>
        <w:rPr>
          <w:rFonts w:ascii="標楷體" w:hAnsi="標楷體"/>
          <w:color w:val="000000"/>
          <w:szCs w:val="28"/>
        </w:rPr>
        <w:t>毒性化學物質各種運作量無變動者，得免</w:t>
      </w:r>
      <w:r>
        <w:rPr>
          <w:rFonts w:ascii="標楷體" w:hAnsi="標楷體"/>
          <w:color w:val="000000"/>
          <w:szCs w:val="28"/>
        </w:rPr>
        <w:t>依前項規定申報，並於每年一月三十一日以前申報前一年毒性化學物質運作紀錄。</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毒性化學物質運作紀錄表，應於各學術機構之運作單位妥善保存三年備查。</w:t>
      </w:r>
    </w:p>
    <w:p w:rsidR="00B653DE" w:rsidRDefault="00777CA6">
      <w:pPr>
        <w:pStyle w:val="Standard"/>
        <w:spacing w:after="113" w:line="480" w:lineRule="exact"/>
        <w:ind w:left="848" w:hanging="848"/>
        <w:rPr>
          <w:rFonts w:ascii="標楷體" w:hAnsi="標楷體"/>
          <w:color w:val="000000"/>
          <w:szCs w:val="28"/>
        </w:rPr>
      </w:pPr>
      <w:r>
        <w:rPr>
          <w:rFonts w:ascii="標楷體" w:hAnsi="標楷體"/>
          <w:color w:val="000000"/>
          <w:szCs w:val="28"/>
        </w:rPr>
        <w:t>第九條</w:t>
      </w:r>
      <w:r>
        <w:rPr>
          <w:rFonts w:ascii="標楷體" w:hAnsi="標楷體"/>
          <w:color w:val="000000"/>
          <w:szCs w:val="28"/>
        </w:rPr>
        <w:t xml:space="preserve">    </w:t>
      </w:r>
      <w:r>
        <w:rPr>
          <w:rFonts w:ascii="標楷體" w:hAnsi="標楷體"/>
          <w:color w:val="000000"/>
          <w:szCs w:val="28"/>
        </w:rPr>
        <w:t>運作單位運作關注化學物質，應依中央主管機關依本法第二十六條第二項規定之格式確實記錄，逐月填寫運作紀錄表，並以書面或電子檔案方式保存。</w:t>
      </w:r>
    </w:p>
    <w:p w:rsidR="00B653DE" w:rsidRDefault="00777CA6">
      <w:pPr>
        <w:pStyle w:val="Standard"/>
        <w:widowControl/>
        <w:spacing w:after="113" w:line="480" w:lineRule="exact"/>
        <w:ind w:left="851"/>
      </w:pPr>
      <w:r>
        <w:rPr>
          <w:rFonts w:ascii="標楷體" w:hAnsi="標楷體"/>
          <w:color w:val="000000"/>
          <w:szCs w:val="28"/>
        </w:rPr>
        <w:t xml:space="preserve">    </w:t>
      </w:r>
      <w:r>
        <w:rPr>
          <w:rFonts w:ascii="標楷體" w:hAnsi="標楷體"/>
          <w:color w:val="000000"/>
          <w:szCs w:val="28"/>
        </w:rPr>
        <w:t>單一物質運作總量達分級運作量者，前項紀錄表應經委員會審議後，由學術機構採網路傳輸方式，於每年一月三十一日以前，向關注化學物質所在地之直轄市、縣</w:t>
      </w:r>
      <w:r>
        <w:rPr>
          <w:rFonts w:ascii="標楷體" w:hAnsi="標楷體"/>
          <w:color w:val="000000"/>
          <w:szCs w:val="28"/>
        </w:rPr>
        <w:t>(</w:t>
      </w:r>
      <w:r>
        <w:rPr>
          <w:rFonts w:ascii="標楷體" w:hAnsi="標楷體"/>
          <w:color w:val="000000"/>
          <w:szCs w:val="28"/>
        </w:rPr>
        <w:t>市</w:t>
      </w:r>
      <w:r>
        <w:rPr>
          <w:rFonts w:ascii="標楷體" w:hAnsi="標楷體"/>
          <w:color w:val="000000"/>
          <w:szCs w:val="28"/>
        </w:rPr>
        <w:t>)</w:t>
      </w:r>
      <w:r>
        <w:rPr>
          <w:rFonts w:ascii="標楷體" w:hAnsi="標楷體"/>
          <w:color w:val="000000"/>
          <w:szCs w:val="28"/>
        </w:rPr>
        <w:t>主管機關申報前一年關注化學物質運作紀錄。</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關注化學</w:t>
      </w:r>
      <w:r>
        <w:rPr>
          <w:rFonts w:ascii="標楷體" w:hAnsi="標楷體"/>
          <w:color w:val="000000"/>
          <w:szCs w:val="28"/>
        </w:rPr>
        <w:t>物質運作紀錄表，應於各學術機構之運作單位妥善保存三年備查。</w:t>
      </w:r>
    </w:p>
    <w:p w:rsidR="00B653DE" w:rsidRDefault="00777CA6">
      <w:pPr>
        <w:pStyle w:val="Standard"/>
        <w:spacing w:after="113" w:line="480" w:lineRule="exact"/>
        <w:ind w:left="848" w:hanging="848"/>
        <w:rPr>
          <w:rFonts w:ascii="標楷體" w:hAnsi="標楷體"/>
          <w:color w:val="000000"/>
          <w:szCs w:val="28"/>
        </w:rPr>
      </w:pPr>
      <w:r>
        <w:rPr>
          <w:rFonts w:ascii="標楷體" w:hAnsi="標楷體"/>
          <w:color w:val="000000"/>
          <w:szCs w:val="28"/>
        </w:rPr>
        <w:t>第十條</w:t>
      </w:r>
      <w:r>
        <w:rPr>
          <w:rFonts w:ascii="標楷體" w:hAnsi="標楷體"/>
          <w:color w:val="000000"/>
          <w:szCs w:val="28"/>
        </w:rPr>
        <w:t xml:space="preserve">    </w:t>
      </w:r>
      <w:r>
        <w:rPr>
          <w:rFonts w:ascii="標楷體" w:hAnsi="標楷體"/>
          <w:color w:val="000000"/>
          <w:szCs w:val="28"/>
        </w:rPr>
        <w:t>學術機構運作毒性及關注化學物質之容器、包裝或其運作單位及設施之標示，應依中央主管機關依本法第十七條第二項、第二十七條第二項所定辦法規定辦理。</w:t>
      </w:r>
    </w:p>
    <w:p w:rsidR="00B653DE" w:rsidRDefault="00777CA6">
      <w:pPr>
        <w:pStyle w:val="Standard"/>
        <w:widowControl/>
        <w:spacing w:after="113" w:line="480" w:lineRule="exact"/>
        <w:ind w:left="851"/>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前項容器之容積在一百毫升以下者，得僅標示名稱、危害圖式及警示語。</w:t>
      </w:r>
    </w:p>
    <w:p w:rsidR="00B653DE" w:rsidRDefault="00777CA6">
      <w:pPr>
        <w:pStyle w:val="Standard"/>
        <w:spacing w:line="480" w:lineRule="exact"/>
        <w:ind w:left="1134" w:hanging="1134"/>
        <w:rPr>
          <w:rFonts w:ascii="標楷體" w:hAnsi="標楷體"/>
          <w:color w:val="000000"/>
          <w:szCs w:val="28"/>
        </w:rPr>
      </w:pPr>
      <w:r>
        <w:rPr>
          <w:rFonts w:ascii="標楷體" w:hAnsi="標楷體"/>
          <w:color w:val="000000"/>
          <w:szCs w:val="28"/>
        </w:rPr>
        <w:t>第十一條</w:t>
      </w:r>
      <w:r>
        <w:rPr>
          <w:rFonts w:ascii="標楷體" w:hAnsi="標楷體"/>
          <w:color w:val="000000"/>
          <w:szCs w:val="28"/>
        </w:rPr>
        <w:t xml:space="preserve">    </w:t>
      </w:r>
      <w:r>
        <w:rPr>
          <w:rFonts w:ascii="標楷體" w:hAnsi="標楷體"/>
          <w:color w:val="000000"/>
          <w:szCs w:val="28"/>
        </w:rPr>
        <w:t>學術機構運作第一類至第三類毒性化學物質或危害性關注化學物質，除廢棄、輸出外，其單一物質運作總量達分級運作量者，應依下列規定辦理：</w:t>
      </w:r>
    </w:p>
    <w:p w:rsidR="00B653DE" w:rsidRDefault="00777CA6">
      <w:pPr>
        <w:pStyle w:val="Textbody"/>
        <w:tabs>
          <w:tab w:val="left" w:pos="2940"/>
        </w:tabs>
        <w:spacing w:line="480" w:lineRule="exact"/>
        <w:rPr>
          <w:color w:val="000000"/>
        </w:rPr>
      </w:pPr>
      <w:r>
        <w:rPr>
          <w:color w:val="000000"/>
        </w:rPr>
        <w:tab/>
      </w:r>
    </w:p>
    <w:p w:rsidR="00B653DE" w:rsidRDefault="00777CA6">
      <w:pPr>
        <w:pStyle w:val="Standard"/>
        <w:widowControl/>
        <w:spacing w:line="480" w:lineRule="exact"/>
        <w:ind w:left="2325" w:hanging="567"/>
        <w:rPr>
          <w:rFonts w:ascii="標楷體" w:hAnsi="標楷體" w:cs="Times New Roman"/>
          <w:color w:val="000000"/>
          <w:szCs w:val="28"/>
        </w:rPr>
      </w:pPr>
      <w:r>
        <w:rPr>
          <w:rFonts w:ascii="標楷體" w:hAnsi="標楷體" w:cs="Times New Roman"/>
          <w:color w:val="000000"/>
          <w:szCs w:val="28"/>
        </w:rPr>
        <w:t>一、訂定危害預防及應變計畫，經委員會審議通過後，報請直轄市、縣</w:t>
      </w:r>
      <w:r>
        <w:rPr>
          <w:rFonts w:ascii="標楷體" w:hAnsi="標楷體" w:cs="Times New Roman"/>
          <w:color w:val="000000"/>
          <w:szCs w:val="28"/>
        </w:rPr>
        <w:t>(</w:t>
      </w:r>
      <w:r>
        <w:rPr>
          <w:rFonts w:ascii="標楷體" w:hAnsi="標楷體" w:cs="Times New Roman"/>
          <w:color w:val="000000"/>
          <w:szCs w:val="28"/>
        </w:rPr>
        <w:t>市</w:t>
      </w:r>
      <w:r>
        <w:rPr>
          <w:rFonts w:ascii="標楷體" w:hAnsi="標楷體" w:cs="Times New Roman"/>
          <w:color w:val="000000"/>
          <w:szCs w:val="28"/>
        </w:rPr>
        <w:t>)</w:t>
      </w:r>
      <w:r>
        <w:rPr>
          <w:rFonts w:ascii="標楷體" w:hAnsi="標楷體" w:cs="Times New Roman"/>
          <w:color w:val="000000"/>
          <w:szCs w:val="28"/>
        </w:rPr>
        <w:t>主管機關備查。</w:t>
      </w:r>
    </w:p>
    <w:p w:rsidR="00B653DE" w:rsidRDefault="00777CA6">
      <w:pPr>
        <w:pStyle w:val="Standard"/>
        <w:widowControl/>
        <w:spacing w:line="480" w:lineRule="exact"/>
        <w:ind w:left="2325" w:hanging="567"/>
        <w:rPr>
          <w:rFonts w:ascii="標楷體" w:hAnsi="標楷體" w:cs="Times New Roman"/>
          <w:color w:val="000000"/>
          <w:szCs w:val="28"/>
        </w:rPr>
      </w:pPr>
      <w:r>
        <w:rPr>
          <w:rFonts w:ascii="標楷體" w:hAnsi="標楷體" w:cs="Times New Roman"/>
          <w:color w:val="000000"/>
          <w:szCs w:val="28"/>
        </w:rPr>
        <w:t>二、依本法第三十九條第一項規定設置應變器材及偵測與警報設備。</w:t>
      </w:r>
    </w:p>
    <w:p w:rsidR="00B653DE" w:rsidRDefault="00777CA6">
      <w:pPr>
        <w:pStyle w:val="Standard"/>
        <w:spacing w:line="480" w:lineRule="exact"/>
        <w:ind w:left="1134" w:hanging="1134"/>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學術機構運作前項物質，區分數運作管理單位者，其單一物質運作總量應分別計算之。</w:t>
      </w:r>
    </w:p>
    <w:p w:rsidR="00B653DE" w:rsidRDefault="00777CA6">
      <w:pPr>
        <w:pStyle w:val="Standard"/>
        <w:spacing w:line="480" w:lineRule="exact"/>
        <w:ind w:left="1134" w:hanging="1134"/>
        <w:rPr>
          <w:rFonts w:ascii="標楷體" w:hAnsi="標楷體"/>
          <w:color w:val="000000"/>
          <w:szCs w:val="28"/>
        </w:rPr>
      </w:pPr>
      <w:r>
        <w:rPr>
          <w:rFonts w:ascii="標楷體" w:hAnsi="標楷體"/>
          <w:color w:val="000000"/>
          <w:szCs w:val="28"/>
        </w:rPr>
        <w:t>第十二條</w:t>
      </w:r>
      <w:r>
        <w:rPr>
          <w:rFonts w:ascii="標楷體" w:hAnsi="標楷體"/>
          <w:color w:val="000000"/>
          <w:szCs w:val="28"/>
        </w:rPr>
        <w:t xml:space="preserve">    </w:t>
      </w:r>
      <w:r>
        <w:rPr>
          <w:rFonts w:ascii="標楷體" w:hAnsi="標楷體"/>
          <w:color w:val="000000"/>
          <w:szCs w:val="28"/>
        </w:rPr>
        <w:t>學術機構運作第一類至第三類毒性化學物質及危害性關注化學物質者，應加入該物質所在地之直轄市、縣（市）內組設之毒性及關注化學物質聯防組織，並依本法第三十八條規定辦理。</w:t>
      </w:r>
    </w:p>
    <w:p w:rsidR="00B653DE" w:rsidRDefault="00777CA6">
      <w:pPr>
        <w:pStyle w:val="Standard"/>
        <w:spacing w:line="480" w:lineRule="exact"/>
        <w:ind w:left="1134" w:hanging="1134"/>
        <w:rPr>
          <w:rFonts w:ascii="標楷體" w:hAnsi="標楷體"/>
          <w:color w:val="000000"/>
          <w:szCs w:val="28"/>
        </w:rPr>
      </w:pPr>
      <w:r>
        <w:rPr>
          <w:rFonts w:ascii="標楷體" w:hAnsi="標楷體"/>
          <w:color w:val="000000"/>
          <w:szCs w:val="28"/>
        </w:rPr>
        <w:t>第十三條</w:t>
      </w:r>
      <w:r>
        <w:rPr>
          <w:rFonts w:ascii="標楷體" w:hAnsi="標楷體"/>
          <w:color w:val="000000"/>
          <w:szCs w:val="28"/>
        </w:rPr>
        <w:t xml:space="preserve">    </w:t>
      </w:r>
      <w:r>
        <w:rPr>
          <w:rFonts w:ascii="標楷體" w:hAnsi="標楷體"/>
          <w:color w:val="000000"/>
          <w:szCs w:val="28"/>
        </w:rPr>
        <w:t>學術機構應積極預防事故發生，並應依本法第三十七條規定辦理。</w:t>
      </w:r>
    </w:p>
    <w:p w:rsidR="00B653DE" w:rsidRDefault="00777CA6">
      <w:pPr>
        <w:pStyle w:val="Standard"/>
        <w:spacing w:line="480" w:lineRule="exact"/>
        <w:ind w:left="1134" w:hanging="1134"/>
        <w:rPr>
          <w:rFonts w:ascii="標楷體" w:hAnsi="標楷體"/>
          <w:color w:val="000000"/>
          <w:szCs w:val="28"/>
        </w:rPr>
      </w:pPr>
      <w:r>
        <w:rPr>
          <w:rFonts w:ascii="標楷體" w:hAnsi="標楷體"/>
          <w:color w:val="000000"/>
          <w:szCs w:val="28"/>
        </w:rPr>
        <w:t xml:space="preserve">   </w:t>
      </w:r>
      <w:r>
        <w:rPr>
          <w:rFonts w:ascii="標楷體" w:hAnsi="標楷體"/>
          <w:color w:val="000000"/>
          <w:szCs w:val="28"/>
        </w:rPr>
        <w:t xml:space="preserve">         </w:t>
      </w:r>
      <w:r>
        <w:rPr>
          <w:rFonts w:ascii="標楷體" w:hAnsi="標楷體"/>
          <w:color w:val="000000"/>
          <w:szCs w:val="28"/>
        </w:rPr>
        <w:t>學術機構於事故發生時，應即採取緊急防治措施及通報，並於事後進行調查檢討，作成調查處理報告，經委員會審議通過後，報請事故發生所在地之直轄市、縣</w:t>
      </w:r>
      <w:r>
        <w:rPr>
          <w:rFonts w:ascii="標楷體" w:hAnsi="標楷體"/>
          <w:color w:val="000000"/>
          <w:szCs w:val="28"/>
        </w:rPr>
        <w:t>(</w:t>
      </w:r>
      <w:r>
        <w:rPr>
          <w:rFonts w:ascii="標楷體" w:hAnsi="標楷體"/>
          <w:color w:val="000000"/>
          <w:szCs w:val="28"/>
        </w:rPr>
        <w:t>市</w:t>
      </w:r>
      <w:r>
        <w:rPr>
          <w:rFonts w:ascii="標楷體" w:hAnsi="標楷體"/>
          <w:color w:val="000000"/>
          <w:szCs w:val="28"/>
        </w:rPr>
        <w:t>)</w:t>
      </w:r>
      <w:r>
        <w:rPr>
          <w:rFonts w:ascii="標楷體" w:hAnsi="標楷體"/>
          <w:color w:val="000000"/>
          <w:szCs w:val="28"/>
        </w:rPr>
        <w:t>主管機關備查。</w:t>
      </w:r>
    </w:p>
    <w:p w:rsidR="00B653DE" w:rsidRDefault="00777CA6">
      <w:pPr>
        <w:pStyle w:val="Standard"/>
        <w:spacing w:line="480" w:lineRule="exact"/>
        <w:ind w:left="1134" w:hanging="1134"/>
      </w:pPr>
      <w:r>
        <w:rPr>
          <w:rFonts w:ascii="標楷體" w:hAnsi="標楷體"/>
          <w:color w:val="000000"/>
          <w:szCs w:val="28"/>
        </w:rPr>
        <w:t>第十四條</w:t>
      </w:r>
      <w:r>
        <w:rPr>
          <w:rFonts w:ascii="標楷體" w:hAnsi="標楷體"/>
          <w:color w:val="000000"/>
          <w:szCs w:val="28"/>
        </w:rPr>
        <w:t xml:space="preserve">    </w:t>
      </w:r>
      <w:r>
        <w:rPr>
          <w:rFonts w:ascii="標楷體" w:hAnsi="標楷體"/>
          <w:color w:val="000000"/>
          <w:szCs w:val="28"/>
        </w:rPr>
        <w:t>學術機構收受之第一類至第三類毒性化學物質或危害性關注化學物質，其名稱、成分含量或數量，與運送表單所載內容不符者，學術機構應於收貨翌日起三個月內，向迄運地直轄市、縣</w:t>
      </w:r>
      <w:r>
        <w:rPr>
          <w:rFonts w:ascii="標楷體" w:hAnsi="標楷體"/>
          <w:color w:val="000000"/>
          <w:szCs w:val="28"/>
        </w:rPr>
        <w:t>(</w:t>
      </w:r>
      <w:r>
        <w:rPr>
          <w:rFonts w:ascii="標楷體" w:hAnsi="標楷體"/>
          <w:color w:val="000000"/>
          <w:szCs w:val="28"/>
        </w:rPr>
        <w:t>市</w:t>
      </w:r>
      <w:r>
        <w:rPr>
          <w:rFonts w:ascii="標楷體" w:hAnsi="標楷體"/>
          <w:color w:val="000000"/>
          <w:szCs w:val="28"/>
        </w:rPr>
        <w:t>)</w:t>
      </w:r>
      <w:r>
        <w:rPr>
          <w:rFonts w:ascii="標楷體" w:hAnsi="標楷體"/>
          <w:color w:val="000000"/>
          <w:szCs w:val="28"/>
        </w:rPr>
        <w:t>主管機關申報。</w:t>
      </w:r>
    </w:p>
    <w:p w:rsidR="00B653DE" w:rsidRDefault="00777CA6">
      <w:pPr>
        <w:pStyle w:val="Standard"/>
        <w:spacing w:line="480" w:lineRule="exact"/>
        <w:ind w:left="1134" w:hanging="1134"/>
      </w:pPr>
      <w:r>
        <w:rPr>
          <w:rFonts w:ascii="標楷體" w:hAnsi="標楷體"/>
          <w:color w:val="000000"/>
          <w:szCs w:val="28"/>
        </w:rPr>
        <w:t>第十五條</w:t>
      </w:r>
      <w:r>
        <w:rPr>
          <w:rFonts w:ascii="標楷體" w:hAnsi="標楷體"/>
          <w:color w:val="000000"/>
          <w:szCs w:val="28"/>
        </w:rPr>
        <w:t xml:space="preserve">    </w:t>
      </w:r>
      <w:r>
        <w:rPr>
          <w:rFonts w:ascii="標楷體" w:hAnsi="標楷體"/>
          <w:color w:val="000000"/>
          <w:szCs w:val="28"/>
        </w:rPr>
        <w:t>本辦法自發布日施行。</w:t>
      </w:r>
    </w:p>
    <w:sectPr w:rsidR="00B653DE">
      <w:footerReference w:type="default" r:id="rId8"/>
      <w:pgSz w:w="11906" w:h="16838"/>
      <w:pgMar w:top="72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A6" w:rsidRDefault="00777CA6">
      <w:r>
        <w:separator/>
      </w:r>
    </w:p>
  </w:endnote>
  <w:endnote w:type="continuationSeparator" w:id="0">
    <w:p w:rsidR="00777CA6" w:rsidRDefault="0077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2"/>
    <w:family w:val="auto"/>
    <w:pitch w:val="default"/>
  </w:font>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29" w:rsidRDefault="00777CA6">
    <w:pPr>
      <w:pStyle w:val="aa"/>
    </w:pPr>
    <w:r>
      <w:fldChar w:fldCharType="begin"/>
    </w:r>
    <w:r>
      <w:instrText xml:space="preserve"> PAGE </w:instrText>
    </w:r>
    <w:r>
      <w:fldChar w:fldCharType="separate"/>
    </w:r>
    <w:r w:rsidR="007E5BED">
      <w:rPr>
        <w:noProof/>
      </w:rPr>
      <w:t>1</w:t>
    </w:r>
    <w:r>
      <w:fldChar w:fldCharType="end"/>
    </w:r>
  </w:p>
  <w:p w:rsidR="008C3D29" w:rsidRDefault="00777C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A6" w:rsidRDefault="00777CA6">
      <w:r>
        <w:rPr>
          <w:color w:val="000000"/>
        </w:rPr>
        <w:separator/>
      </w:r>
    </w:p>
  </w:footnote>
  <w:footnote w:type="continuationSeparator" w:id="0">
    <w:p w:rsidR="00777CA6" w:rsidRDefault="00777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163"/>
    <w:multiLevelType w:val="multilevel"/>
    <w:tmpl w:val="5D78455C"/>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
    <w:nsid w:val="02DA0CF6"/>
    <w:multiLevelType w:val="multilevel"/>
    <w:tmpl w:val="BEC87F1C"/>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4543787"/>
    <w:multiLevelType w:val="multilevel"/>
    <w:tmpl w:val="D8EEDF2E"/>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
    <w:nsid w:val="0510708B"/>
    <w:multiLevelType w:val="multilevel"/>
    <w:tmpl w:val="93163FDE"/>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83774F"/>
    <w:multiLevelType w:val="multilevel"/>
    <w:tmpl w:val="AB86A288"/>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5">
    <w:nsid w:val="06B342A4"/>
    <w:multiLevelType w:val="multilevel"/>
    <w:tmpl w:val="836C32B2"/>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6">
    <w:nsid w:val="0976251B"/>
    <w:multiLevelType w:val="multilevel"/>
    <w:tmpl w:val="562C600A"/>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7">
    <w:nsid w:val="0C6D6542"/>
    <w:multiLevelType w:val="multilevel"/>
    <w:tmpl w:val="B83ECA6C"/>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8">
    <w:nsid w:val="12307F72"/>
    <w:multiLevelType w:val="multilevel"/>
    <w:tmpl w:val="09844984"/>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
    <w:nsid w:val="14DA2EA8"/>
    <w:multiLevelType w:val="multilevel"/>
    <w:tmpl w:val="1AE652FC"/>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0">
    <w:nsid w:val="15E9446C"/>
    <w:multiLevelType w:val="multilevel"/>
    <w:tmpl w:val="2D7A0C3A"/>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1">
    <w:nsid w:val="18F4017D"/>
    <w:multiLevelType w:val="multilevel"/>
    <w:tmpl w:val="A9525630"/>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12">
    <w:nsid w:val="1F4728DE"/>
    <w:multiLevelType w:val="multilevel"/>
    <w:tmpl w:val="062C1DA6"/>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13">
    <w:nsid w:val="21F26C4D"/>
    <w:multiLevelType w:val="multilevel"/>
    <w:tmpl w:val="0C72B6FE"/>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14">
    <w:nsid w:val="24ED4486"/>
    <w:multiLevelType w:val="multilevel"/>
    <w:tmpl w:val="30DA958E"/>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5">
    <w:nsid w:val="277911CC"/>
    <w:multiLevelType w:val="multilevel"/>
    <w:tmpl w:val="D376F2B6"/>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6">
    <w:nsid w:val="29EE50A8"/>
    <w:multiLevelType w:val="multilevel"/>
    <w:tmpl w:val="1334FE48"/>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7">
    <w:nsid w:val="2AF35E67"/>
    <w:multiLevelType w:val="multilevel"/>
    <w:tmpl w:val="A7A859E4"/>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8">
    <w:nsid w:val="2D0E3A44"/>
    <w:multiLevelType w:val="multilevel"/>
    <w:tmpl w:val="2928510C"/>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9">
    <w:nsid w:val="2DD57E7A"/>
    <w:multiLevelType w:val="multilevel"/>
    <w:tmpl w:val="CD26B902"/>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0">
    <w:nsid w:val="38B6599C"/>
    <w:multiLevelType w:val="multilevel"/>
    <w:tmpl w:val="EECC8984"/>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1">
    <w:nsid w:val="3A417F96"/>
    <w:multiLevelType w:val="multilevel"/>
    <w:tmpl w:val="CA98C28A"/>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2">
    <w:nsid w:val="3D7E5B08"/>
    <w:multiLevelType w:val="multilevel"/>
    <w:tmpl w:val="33BAAD32"/>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3">
    <w:nsid w:val="43C511BD"/>
    <w:multiLevelType w:val="multilevel"/>
    <w:tmpl w:val="46883ED6"/>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4">
    <w:nsid w:val="4434413F"/>
    <w:multiLevelType w:val="multilevel"/>
    <w:tmpl w:val="B0E24826"/>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92C6358"/>
    <w:multiLevelType w:val="multilevel"/>
    <w:tmpl w:val="CC045F48"/>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6">
    <w:nsid w:val="4E97468E"/>
    <w:multiLevelType w:val="multilevel"/>
    <w:tmpl w:val="F51A6A32"/>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7">
    <w:nsid w:val="508C431E"/>
    <w:multiLevelType w:val="multilevel"/>
    <w:tmpl w:val="4F42EAAA"/>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1BF40EB"/>
    <w:multiLevelType w:val="multilevel"/>
    <w:tmpl w:val="6958D072"/>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9">
    <w:nsid w:val="54AC16B9"/>
    <w:multiLevelType w:val="multilevel"/>
    <w:tmpl w:val="BB147A74"/>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30">
    <w:nsid w:val="54FF75DC"/>
    <w:multiLevelType w:val="multilevel"/>
    <w:tmpl w:val="6F440388"/>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1">
    <w:nsid w:val="5A6E65F2"/>
    <w:multiLevelType w:val="multilevel"/>
    <w:tmpl w:val="684201CC"/>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32">
    <w:nsid w:val="5CD238CC"/>
    <w:multiLevelType w:val="multilevel"/>
    <w:tmpl w:val="61C40A5A"/>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33">
    <w:nsid w:val="5E570B42"/>
    <w:multiLevelType w:val="multilevel"/>
    <w:tmpl w:val="31527F10"/>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34">
    <w:nsid w:val="5F9E7286"/>
    <w:multiLevelType w:val="multilevel"/>
    <w:tmpl w:val="89AC2B9E"/>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5">
    <w:nsid w:val="629A7ED7"/>
    <w:multiLevelType w:val="multilevel"/>
    <w:tmpl w:val="B9E2CB20"/>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6">
    <w:nsid w:val="643F2033"/>
    <w:multiLevelType w:val="multilevel"/>
    <w:tmpl w:val="0820FCB4"/>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7">
    <w:nsid w:val="6DCF61CB"/>
    <w:multiLevelType w:val="multilevel"/>
    <w:tmpl w:val="D068A82C"/>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8">
    <w:nsid w:val="6E4C3A11"/>
    <w:multiLevelType w:val="multilevel"/>
    <w:tmpl w:val="D118120E"/>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39">
    <w:nsid w:val="6E797417"/>
    <w:multiLevelType w:val="multilevel"/>
    <w:tmpl w:val="CCA6960E"/>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40">
    <w:nsid w:val="71372AEC"/>
    <w:multiLevelType w:val="multilevel"/>
    <w:tmpl w:val="CD12E738"/>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1">
    <w:nsid w:val="713C4FB1"/>
    <w:multiLevelType w:val="multilevel"/>
    <w:tmpl w:val="12827E28"/>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2">
    <w:nsid w:val="75A1603C"/>
    <w:multiLevelType w:val="multilevel"/>
    <w:tmpl w:val="40EE7B82"/>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692082F"/>
    <w:multiLevelType w:val="multilevel"/>
    <w:tmpl w:val="325A32CE"/>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4">
    <w:nsid w:val="7CF3443D"/>
    <w:multiLevelType w:val="multilevel"/>
    <w:tmpl w:val="5608037C"/>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F441513"/>
    <w:multiLevelType w:val="multilevel"/>
    <w:tmpl w:val="38429A72"/>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
  </w:num>
  <w:num w:numId="2">
    <w:abstractNumId w:val="30"/>
  </w:num>
  <w:num w:numId="3">
    <w:abstractNumId w:val="34"/>
  </w:num>
  <w:num w:numId="4">
    <w:abstractNumId w:val="35"/>
  </w:num>
  <w:num w:numId="5">
    <w:abstractNumId w:val="9"/>
  </w:num>
  <w:num w:numId="6">
    <w:abstractNumId w:val="45"/>
  </w:num>
  <w:num w:numId="7">
    <w:abstractNumId w:val="22"/>
  </w:num>
  <w:num w:numId="8">
    <w:abstractNumId w:val="36"/>
  </w:num>
  <w:num w:numId="9">
    <w:abstractNumId w:val="6"/>
  </w:num>
  <w:num w:numId="10">
    <w:abstractNumId w:val="41"/>
  </w:num>
  <w:num w:numId="11">
    <w:abstractNumId w:val="13"/>
  </w:num>
  <w:num w:numId="12">
    <w:abstractNumId w:val="32"/>
  </w:num>
  <w:num w:numId="13">
    <w:abstractNumId w:val="23"/>
  </w:num>
  <w:num w:numId="14">
    <w:abstractNumId w:val="40"/>
  </w:num>
  <w:num w:numId="15">
    <w:abstractNumId w:val="2"/>
  </w:num>
  <w:num w:numId="16">
    <w:abstractNumId w:val="26"/>
  </w:num>
  <w:num w:numId="17">
    <w:abstractNumId w:val="21"/>
  </w:num>
  <w:num w:numId="18">
    <w:abstractNumId w:val="28"/>
  </w:num>
  <w:num w:numId="19">
    <w:abstractNumId w:val="18"/>
  </w:num>
  <w:num w:numId="20">
    <w:abstractNumId w:val="27"/>
  </w:num>
  <w:num w:numId="21">
    <w:abstractNumId w:val="10"/>
  </w:num>
  <w:num w:numId="22">
    <w:abstractNumId w:val="19"/>
  </w:num>
  <w:num w:numId="23">
    <w:abstractNumId w:val="44"/>
  </w:num>
  <w:num w:numId="24">
    <w:abstractNumId w:val="1"/>
  </w:num>
  <w:num w:numId="25">
    <w:abstractNumId w:val="39"/>
  </w:num>
  <w:num w:numId="26">
    <w:abstractNumId w:val="11"/>
  </w:num>
  <w:num w:numId="27">
    <w:abstractNumId w:val="37"/>
  </w:num>
  <w:num w:numId="28">
    <w:abstractNumId w:val="7"/>
  </w:num>
  <w:num w:numId="29">
    <w:abstractNumId w:val="15"/>
  </w:num>
  <w:num w:numId="30">
    <w:abstractNumId w:val="42"/>
  </w:num>
  <w:num w:numId="31">
    <w:abstractNumId w:val="24"/>
  </w:num>
  <w:num w:numId="32">
    <w:abstractNumId w:val="14"/>
  </w:num>
  <w:num w:numId="33">
    <w:abstractNumId w:val="3"/>
  </w:num>
  <w:num w:numId="34">
    <w:abstractNumId w:val="29"/>
  </w:num>
  <w:num w:numId="35">
    <w:abstractNumId w:val="16"/>
  </w:num>
  <w:num w:numId="36">
    <w:abstractNumId w:val="33"/>
  </w:num>
  <w:num w:numId="37">
    <w:abstractNumId w:val="5"/>
  </w:num>
  <w:num w:numId="38">
    <w:abstractNumId w:val="12"/>
  </w:num>
  <w:num w:numId="39">
    <w:abstractNumId w:val="31"/>
  </w:num>
  <w:num w:numId="40">
    <w:abstractNumId w:val="17"/>
  </w:num>
  <w:num w:numId="41">
    <w:abstractNumId w:val="0"/>
  </w:num>
  <w:num w:numId="42">
    <w:abstractNumId w:val="20"/>
  </w:num>
  <w:num w:numId="43">
    <w:abstractNumId w:val="4"/>
  </w:num>
  <w:num w:numId="44">
    <w:abstractNumId w:val="43"/>
  </w:num>
  <w:num w:numId="45">
    <w:abstractNumId w:val="2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53DE"/>
    <w:rsid w:val="00777CA6"/>
    <w:rsid w:val="007E5BED"/>
    <w:rsid w:val="00B65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rPr>
      <w:rFonts w:ascii="Calibri" w:eastAsia="新細明體" w:hAnsi="Calibri" w:cs="Calibri"/>
      <w:sz w:val="24"/>
      <w:szCs w:val="22"/>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rPr>
      <w:rFonts w:ascii="Calibri" w:eastAsia="新細明體" w:hAnsi="Calibri" w:cs="Calibri"/>
      <w:sz w:val="24"/>
      <w:szCs w:val="22"/>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2146/AppData/Local/Microsoft/Windows/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9</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TcSSH</dc:creator>
  <cp:lastModifiedBy>TcSSH</cp:lastModifiedBy>
  <cp:revision>1</cp:revision>
  <dcterms:created xsi:type="dcterms:W3CDTF">2020-06-29T09:19:00Z</dcterms:created>
  <dcterms:modified xsi:type="dcterms:W3CDTF">2020-07-07T01:10:00Z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