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7C" w:rsidRPr="00C45379" w:rsidRDefault="00F96B7C" w:rsidP="00F96B7C">
      <w:pPr>
        <w:spacing w:line="360" w:lineRule="auto"/>
        <w:ind w:left="1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1.土壤巡迴車：</w:t>
      </w:r>
      <w:r w:rsidRPr="001A33C2">
        <w:rPr>
          <w:rFonts w:eastAsia="標楷體" w:hAnsi="標楷體" w:hint="eastAsia"/>
          <w:sz w:val="28"/>
          <w:szCs w:val="28"/>
        </w:rPr>
        <w:t>「重要土壤性質和功能展示」將利用</w:t>
      </w:r>
      <w:r>
        <w:rPr>
          <w:rFonts w:eastAsia="標楷體" w:hAnsi="標楷體" w:hint="eastAsia"/>
          <w:sz w:val="28"/>
          <w:szCs w:val="28"/>
        </w:rPr>
        <w:t>(1)</w:t>
      </w:r>
      <w:r w:rsidRPr="001A33C2">
        <w:rPr>
          <w:rFonts w:eastAsia="標楷體" w:hAnsi="標楷體" w:hint="eastAsia"/>
          <w:sz w:val="28"/>
          <w:szCs w:val="28"/>
        </w:rPr>
        <w:t>根系觀察箱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圖</w:t>
      </w:r>
      <w:r>
        <w:rPr>
          <w:rFonts w:eastAsia="標楷體" w:hAnsi="標楷體" w:hint="eastAsia"/>
          <w:sz w:val="28"/>
          <w:szCs w:val="28"/>
        </w:rPr>
        <w:t>a)</w:t>
      </w:r>
      <w:r w:rsidRPr="001A33C2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(2)</w:t>
      </w:r>
      <w:proofErr w:type="gramStart"/>
      <w:r w:rsidRPr="001A33C2">
        <w:rPr>
          <w:rFonts w:eastAsia="標楷體" w:hAnsi="標楷體" w:hint="eastAsia"/>
          <w:sz w:val="28"/>
          <w:szCs w:val="28"/>
        </w:rPr>
        <w:t>管柱流動</w:t>
      </w:r>
      <w:proofErr w:type="gramEnd"/>
      <w:r w:rsidRPr="001A33C2">
        <w:rPr>
          <w:rFonts w:eastAsia="標楷體" w:hAnsi="標楷體" w:hint="eastAsia"/>
          <w:sz w:val="28"/>
          <w:szCs w:val="28"/>
        </w:rPr>
        <w:t>試驗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圖</w:t>
      </w:r>
      <w:r>
        <w:rPr>
          <w:rFonts w:eastAsia="標楷體" w:hAnsi="標楷體" w:hint="eastAsia"/>
          <w:sz w:val="28"/>
          <w:szCs w:val="28"/>
        </w:rPr>
        <w:t>b)</w:t>
      </w:r>
      <w:r>
        <w:rPr>
          <w:rFonts w:eastAsia="標楷體" w:hAnsi="標楷體" w:hint="eastAsia"/>
          <w:sz w:val="28"/>
          <w:szCs w:val="28"/>
        </w:rPr>
        <w:t>、及</w:t>
      </w:r>
      <w:r>
        <w:rPr>
          <w:rFonts w:eastAsia="標楷體" w:hAnsi="標楷體" w:hint="eastAsia"/>
          <w:sz w:val="28"/>
          <w:szCs w:val="28"/>
        </w:rPr>
        <w:t>(3)</w:t>
      </w:r>
      <w:r w:rsidRPr="001A33C2">
        <w:rPr>
          <w:rFonts w:eastAsia="標楷體" w:hAnsi="標楷體" w:hint="eastAsia"/>
          <w:sz w:val="28"/>
          <w:szCs w:val="28"/>
        </w:rPr>
        <w:t>顯微鏡</w:t>
      </w:r>
      <w:r>
        <w:rPr>
          <w:rFonts w:eastAsia="標楷體" w:hAnsi="標楷體" w:hint="eastAsia"/>
          <w:sz w:val="28"/>
          <w:szCs w:val="28"/>
        </w:rPr>
        <w:t>觀察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圖</w:t>
      </w:r>
      <w:r>
        <w:rPr>
          <w:rFonts w:eastAsia="標楷體" w:hAnsi="標楷體" w:hint="eastAsia"/>
          <w:sz w:val="28"/>
          <w:szCs w:val="28"/>
        </w:rPr>
        <w:t>c)</w:t>
      </w:r>
      <w:r w:rsidRPr="001A33C2">
        <w:rPr>
          <w:rFonts w:eastAsia="標楷體" w:hAnsi="標楷體" w:hint="eastAsia"/>
          <w:sz w:val="28"/>
          <w:szCs w:val="28"/>
        </w:rPr>
        <w:t>等方式，說明重要的土壤物理、化學和生物性質</w:t>
      </w:r>
      <w:r>
        <w:rPr>
          <w:rFonts w:eastAsia="標楷體" w:hAnsi="標楷體" w:hint="eastAsia"/>
          <w:sz w:val="28"/>
          <w:szCs w:val="28"/>
        </w:rPr>
        <w:t>，以及與</w:t>
      </w:r>
      <w:r w:rsidRPr="001A33C2">
        <w:rPr>
          <w:rFonts w:eastAsia="標楷體" w:hAnsi="標楷體" w:hint="eastAsia"/>
          <w:sz w:val="28"/>
          <w:szCs w:val="28"/>
        </w:rPr>
        <w:t>「土壤簡易健康檢測」</w:t>
      </w:r>
      <w:r>
        <w:rPr>
          <w:rFonts w:eastAsia="標楷體" w:hAnsi="標楷體" w:hint="eastAsia"/>
          <w:sz w:val="28"/>
          <w:szCs w:val="28"/>
        </w:rPr>
        <w:t>各檢測</w:t>
      </w:r>
      <w:proofErr w:type="gramStart"/>
      <w:r>
        <w:rPr>
          <w:rFonts w:eastAsia="標楷體" w:hAnsi="標楷體" w:hint="eastAsia"/>
          <w:sz w:val="28"/>
          <w:szCs w:val="28"/>
        </w:rPr>
        <w:t>項目間的關係</w:t>
      </w:r>
      <w:proofErr w:type="gramEnd"/>
      <w:r w:rsidRPr="001A33C2">
        <w:rPr>
          <w:rFonts w:eastAsia="標楷體" w:hAnsi="標楷體" w:hint="eastAsia"/>
          <w:sz w:val="28"/>
          <w:szCs w:val="28"/>
        </w:rPr>
        <w:t>。</w:t>
      </w:r>
    </w:p>
    <w:p w:rsidR="00F96B7C" w:rsidRDefault="00F96B7C" w:rsidP="00F96B7C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2231390</wp:posOffset>
            </wp:positionV>
            <wp:extent cx="5000625" cy="3745865"/>
            <wp:effectExtent l="19050" t="0" r="9525" b="0"/>
            <wp:wrapNone/>
            <wp:docPr id="2" name="圖片 9" descr="10849997_318552441679460_34890604350813289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49997_318552441679460_3489060435081328966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標楷體" w:hAnsi="標楷體" w:hint="eastAsia"/>
          <w:sz w:val="28"/>
          <w:szCs w:val="28"/>
        </w:rPr>
        <w:t>2.</w:t>
      </w:r>
      <w:r w:rsidRPr="001A33C2">
        <w:rPr>
          <w:rFonts w:eastAsia="標楷體" w:hAnsi="標楷體" w:hint="eastAsia"/>
          <w:sz w:val="28"/>
          <w:szCs w:val="28"/>
        </w:rPr>
        <w:t>「土壤簡易健康檢測」將</w:t>
      </w:r>
      <w:r>
        <w:rPr>
          <w:rFonts w:eastAsia="標楷體" w:hAnsi="標楷體" w:hint="eastAsia"/>
          <w:sz w:val="28"/>
          <w:szCs w:val="28"/>
        </w:rPr>
        <w:t>針對</w:t>
      </w:r>
      <w:r>
        <w:rPr>
          <w:rFonts w:eastAsia="標楷體" w:hAnsi="標楷體" w:hint="eastAsia"/>
          <w:sz w:val="28"/>
          <w:szCs w:val="28"/>
        </w:rPr>
        <w:t>(1)</w:t>
      </w:r>
      <w:r w:rsidRPr="00717778">
        <w:rPr>
          <w:rFonts w:eastAsia="標楷體" w:hAnsi="標楷體" w:hint="eastAsia"/>
          <w:sz w:val="28"/>
          <w:szCs w:val="28"/>
        </w:rPr>
        <w:t>土壤質地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(2)</w:t>
      </w:r>
      <w:r w:rsidRPr="000145F0">
        <w:rPr>
          <w:rFonts w:eastAsia="標楷體" w:hAnsi="標楷體" w:hint="eastAsia"/>
          <w:sz w:val="28"/>
          <w:szCs w:val="28"/>
        </w:rPr>
        <w:t>穿刺深度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(3)</w:t>
      </w:r>
      <w:proofErr w:type="gramStart"/>
      <w:r w:rsidRPr="000145F0">
        <w:rPr>
          <w:rFonts w:eastAsia="標楷體" w:hAnsi="標楷體" w:hint="eastAsia"/>
          <w:sz w:val="28"/>
          <w:szCs w:val="28"/>
        </w:rPr>
        <w:t>粒團穩定性</w:t>
      </w:r>
      <w:proofErr w:type="gramEnd"/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(4)</w:t>
      </w:r>
      <w:r w:rsidRPr="000145F0">
        <w:rPr>
          <w:rFonts w:eastAsia="標楷體" w:hAnsi="標楷體" w:hint="eastAsia"/>
          <w:sz w:val="28"/>
          <w:szCs w:val="28"/>
        </w:rPr>
        <w:t>總體密度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(5)</w:t>
      </w:r>
      <w:r w:rsidRPr="000145F0">
        <w:rPr>
          <w:rFonts w:eastAsia="標楷體" w:hAnsi="標楷體" w:hint="eastAsia"/>
          <w:sz w:val="28"/>
          <w:szCs w:val="28"/>
        </w:rPr>
        <w:t>土壤酸鹼度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(6)</w:t>
      </w:r>
      <w:r w:rsidRPr="000145F0">
        <w:rPr>
          <w:rFonts w:eastAsia="標楷體" w:hAnsi="標楷體" w:hint="eastAsia"/>
          <w:sz w:val="28"/>
          <w:szCs w:val="28"/>
        </w:rPr>
        <w:t>土壤硝酸根濃度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(7)</w:t>
      </w:r>
      <w:r w:rsidRPr="000145F0">
        <w:rPr>
          <w:rFonts w:eastAsia="標楷體" w:hAnsi="標楷體" w:hint="eastAsia"/>
          <w:sz w:val="28"/>
          <w:szCs w:val="28"/>
        </w:rPr>
        <w:t>土壤</w:t>
      </w:r>
      <w:proofErr w:type="gramStart"/>
      <w:r w:rsidRPr="000145F0">
        <w:rPr>
          <w:rFonts w:eastAsia="標楷體" w:hAnsi="標楷體" w:hint="eastAsia"/>
          <w:sz w:val="28"/>
          <w:szCs w:val="28"/>
        </w:rPr>
        <w:t>電導度</w:t>
      </w:r>
      <w:r>
        <w:rPr>
          <w:rFonts w:eastAsia="標楷體" w:hAnsi="標楷體" w:hint="eastAsia"/>
          <w:sz w:val="28"/>
          <w:szCs w:val="28"/>
        </w:rPr>
        <w:t>等</w:t>
      </w:r>
      <w:proofErr w:type="gramEnd"/>
      <w:r>
        <w:rPr>
          <w:rFonts w:eastAsia="標楷體" w:hAnsi="標楷體" w:hint="eastAsia"/>
          <w:sz w:val="28"/>
          <w:szCs w:val="28"/>
        </w:rPr>
        <w:t>七種重要且容易自行檢測的項目，</w:t>
      </w:r>
      <w:r w:rsidRPr="001A33C2">
        <w:rPr>
          <w:rFonts w:eastAsia="標楷體" w:hAnsi="標楷體" w:hint="eastAsia"/>
          <w:sz w:val="28"/>
          <w:szCs w:val="28"/>
        </w:rPr>
        <w:t>教導學生如何</w:t>
      </w:r>
      <w:r>
        <w:rPr>
          <w:rFonts w:eastAsia="標楷體" w:hAnsi="標楷體" w:hint="eastAsia"/>
          <w:sz w:val="28"/>
          <w:szCs w:val="28"/>
        </w:rPr>
        <w:t>利用可由生活五金商行、電子材料行、網站購得之</w:t>
      </w:r>
      <w:r w:rsidRPr="001A33C2">
        <w:rPr>
          <w:rFonts w:eastAsia="標楷體" w:hAnsi="標楷體" w:hint="eastAsia"/>
          <w:sz w:val="28"/>
          <w:szCs w:val="28"/>
        </w:rPr>
        <w:t>簡單</w:t>
      </w:r>
      <w:r>
        <w:rPr>
          <w:rFonts w:eastAsia="標楷體" w:hAnsi="標楷體" w:hint="eastAsia"/>
          <w:sz w:val="28"/>
          <w:szCs w:val="28"/>
        </w:rPr>
        <w:t>且便宜</w:t>
      </w:r>
      <w:r w:rsidRPr="001A33C2">
        <w:rPr>
          <w:rFonts w:eastAsia="標楷體" w:hAnsi="標楷體" w:hint="eastAsia"/>
          <w:sz w:val="28"/>
          <w:szCs w:val="28"/>
        </w:rPr>
        <w:t>的工具</w:t>
      </w:r>
      <w:r w:rsidRPr="00C45379">
        <w:rPr>
          <w:rFonts w:eastAsia="標楷體" w:hAnsi="標楷體" w:hint="eastAsia"/>
          <w:sz w:val="28"/>
          <w:szCs w:val="28"/>
        </w:rPr>
        <w:t>，</w:t>
      </w:r>
      <w:r w:rsidRPr="001A33C2">
        <w:rPr>
          <w:rFonts w:eastAsia="標楷體" w:hAnsi="標楷體" w:hint="eastAsia"/>
          <w:sz w:val="28"/>
          <w:szCs w:val="28"/>
        </w:rPr>
        <w:t>診斷土壤的健康程度，以利持續追蹤和維護土壤品質</w:t>
      </w:r>
      <w:r>
        <w:rPr>
          <w:rFonts w:eastAsia="標楷體" w:hAnsi="標楷體" w:hint="eastAsia"/>
          <w:sz w:val="28"/>
          <w:szCs w:val="28"/>
        </w:rPr>
        <w:t>。</w:t>
      </w:r>
    </w:p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Default="00F96B7C" w:rsidP="00F96B7C"/>
    <w:p w:rsidR="00F96B7C" w:rsidRPr="00215D29" w:rsidRDefault="00F96B7C" w:rsidP="00F96B7C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圖</w:t>
      </w:r>
      <w:r>
        <w:rPr>
          <w:rFonts w:eastAsia="標楷體" w:hAnsi="標楷體" w:hint="eastAsia"/>
          <w:sz w:val="28"/>
          <w:szCs w:val="28"/>
        </w:rPr>
        <w:t>a</w:t>
      </w:r>
      <w:r>
        <w:rPr>
          <w:rFonts w:eastAsia="標楷體" w:hAnsi="標楷體" w:hint="eastAsia"/>
          <w:sz w:val="28"/>
          <w:szCs w:val="28"/>
        </w:rPr>
        <w:t>、</w:t>
      </w:r>
      <w:r w:rsidRPr="001A33C2">
        <w:rPr>
          <w:rFonts w:eastAsia="標楷體" w:hAnsi="標楷體" w:hint="eastAsia"/>
          <w:sz w:val="28"/>
          <w:szCs w:val="28"/>
        </w:rPr>
        <w:t>根系觀察箱</w:t>
      </w: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-5847</wp:posOffset>
            </wp:positionH>
            <wp:positionV relativeFrom="paragraph">
              <wp:posOffset>-380245</wp:posOffset>
            </wp:positionV>
            <wp:extent cx="5000625" cy="3743608"/>
            <wp:effectExtent l="19050" t="0" r="9525" b="0"/>
            <wp:wrapNone/>
            <wp:docPr id="5" name="圖片 8" descr="1503430_318554828345888_47636680675930569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430_318554828345888_476366806759305693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4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圖</w:t>
      </w:r>
      <w:r>
        <w:rPr>
          <w:rFonts w:eastAsia="標楷體" w:hint="eastAsia"/>
          <w:sz w:val="28"/>
          <w:szCs w:val="28"/>
        </w:rPr>
        <w:t>b</w:t>
      </w:r>
      <w:r>
        <w:rPr>
          <w:rFonts w:eastAsia="標楷體" w:hint="eastAsia"/>
          <w:sz w:val="28"/>
          <w:szCs w:val="28"/>
        </w:rPr>
        <w:t>、</w:t>
      </w:r>
      <w:proofErr w:type="gramStart"/>
      <w:r w:rsidRPr="001A33C2">
        <w:rPr>
          <w:rFonts w:eastAsia="標楷體" w:hAnsi="標楷體" w:hint="eastAsia"/>
          <w:sz w:val="28"/>
          <w:szCs w:val="28"/>
        </w:rPr>
        <w:t>管柱流動</w:t>
      </w:r>
      <w:proofErr w:type="gramEnd"/>
      <w:r w:rsidRPr="001A33C2">
        <w:rPr>
          <w:rFonts w:eastAsia="標楷體" w:hAnsi="標楷體" w:hint="eastAsia"/>
          <w:sz w:val="28"/>
          <w:szCs w:val="28"/>
        </w:rPr>
        <w:t>試驗</w:t>
      </w:r>
      <w:r>
        <w:rPr>
          <w:rFonts w:eastAsia="標楷體" w:hint="eastAsia"/>
          <w:sz w:val="28"/>
          <w:szCs w:val="28"/>
        </w:rPr>
        <w:t>。</w:t>
      </w: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1990</wp:posOffset>
            </wp:positionH>
            <wp:positionV relativeFrom="paragraph">
              <wp:posOffset>218554</wp:posOffset>
            </wp:positionV>
            <wp:extent cx="4987774" cy="3746310"/>
            <wp:effectExtent l="19050" t="0" r="3326" b="0"/>
            <wp:wrapNone/>
            <wp:docPr id="6" name="圖片 7" descr="10846211_318554875012550_69473221981187639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46211_318554875012550_6947322198118763948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774" cy="374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Default="00F96B7C" w:rsidP="00F96B7C">
      <w:pPr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F96B7C" w:rsidRPr="00215D29" w:rsidRDefault="00F96B7C" w:rsidP="00F96B7C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圖</w:t>
      </w:r>
      <w:r>
        <w:rPr>
          <w:rFonts w:eastAsia="標楷體" w:hAnsi="標楷體" w:hint="eastAsia"/>
          <w:sz w:val="28"/>
          <w:szCs w:val="28"/>
        </w:rPr>
        <w:t>c</w:t>
      </w:r>
      <w:r>
        <w:rPr>
          <w:rFonts w:eastAsia="標楷體" w:hAnsi="標楷體" w:hint="eastAsia"/>
          <w:sz w:val="28"/>
          <w:szCs w:val="28"/>
        </w:rPr>
        <w:t>、</w:t>
      </w:r>
      <w:r w:rsidRPr="001A33C2">
        <w:rPr>
          <w:rFonts w:eastAsia="標楷體" w:hAnsi="標楷體" w:hint="eastAsia"/>
          <w:sz w:val="28"/>
          <w:szCs w:val="28"/>
        </w:rPr>
        <w:t>顯微鏡</w:t>
      </w:r>
      <w:r>
        <w:rPr>
          <w:rFonts w:eastAsia="標楷體" w:hAnsi="標楷體" w:hint="eastAsia"/>
          <w:sz w:val="28"/>
          <w:szCs w:val="28"/>
        </w:rPr>
        <w:t>觀察。</w:t>
      </w:r>
    </w:p>
    <w:p w:rsidR="00F96B7C" w:rsidRDefault="00F96B7C">
      <w:pPr>
        <w:widowControl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br w:type="page"/>
      </w:r>
    </w:p>
    <w:p w:rsidR="00512107" w:rsidRPr="00E11A0F" w:rsidRDefault="00512107" w:rsidP="00512107">
      <w:pPr>
        <w:spacing w:line="360" w:lineRule="auto"/>
        <w:jc w:val="center"/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</w:pPr>
      <w:r w:rsidRPr="00E11A0F">
        <w:rPr>
          <w:rFonts w:ascii="標楷體" w:eastAsia="標楷體" w:hAnsi="標楷體" w:hint="eastAsia"/>
          <w:sz w:val="28"/>
          <w:szCs w:val="28"/>
          <w:shd w:val="clear" w:color="auto" w:fill="FFFFFF"/>
        </w:rPr>
        <w:lastRenderedPageBreak/>
        <w:t>2015國際土壤年-興大土壤巡迴車報名表</w:t>
      </w:r>
    </w:p>
    <w:tbl>
      <w:tblPr>
        <w:tblW w:w="91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2"/>
        <w:gridCol w:w="851"/>
        <w:gridCol w:w="992"/>
        <w:gridCol w:w="803"/>
        <w:gridCol w:w="473"/>
        <w:gridCol w:w="1701"/>
        <w:gridCol w:w="425"/>
        <w:gridCol w:w="2693"/>
      </w:tblGrid>
      <w:tr w:rsidR="00512107" w:rsidRPr="00E11A0F" w:rsidTr="00290C99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連絡人(職稱)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107" w:rsidRPr="00E11A0F" w:rsidTr="00290C99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107" w:rsidRPr="00E11A0F" w:rsidTr="00290C99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107" w:rsidRPr="00E11A0F" w:rsidTr="00290C99">
        <w:trPr>
          <w:trHeight w:val="55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希望巡迴車</w:t>
            </w:r>
          </w:p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展演之月份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上半年度(請勾選)</w:t>
            </w:r>
          </w:p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 xml:space="preserve">□四月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五月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七月 </w:t>
            </w:r>
          </w:p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下半年度(請勾選)</w:t>
            </w:r>
          </w:p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八月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九月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十月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>十一月</w:t>
            </w:r>
          </w:p>
        </w:tc>
      </w:tr>
      <w:tr w:rsidR="00512107" w:rsidRPr="00E11A0F" w:rsidTr="00290C99">
        <w:trPr>
          <w:trHeight w:val="55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是否可配合</w:t>
            </w:r>
          </w:p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安排周五展演</w:t>
            </w:r>
          </w:p>
        </w:tc>
        <w:tc>
          <w:tcPr>
            <w:tcW w:w="17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是 </w:t>
            </w:r>
            <w:proofErr w:type="gramStart"/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25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若無法安排展演是否願意收到相關資訊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是 </w:t>
            </w:r>
            <w:proofErr w:type="gramStart"/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512107" w:rsidRPr="00E11A0F" w:rsidTr="00290C99">
        <w:trPr>
          <w:trHeight w:val="55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512107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高中若有實驗項目，將酌收材料費或自行準備藥品及器材。</w:t>
            </w:r>
          </w:p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2.詳情可上</w:t>
            </w:r>
            <w:proofErr w:type="spellStart"/>
            <w:r>
              <w:rPr>
                <w:rFonts w:ascii="標楷體" w:eastAsia="標楷體" w:hAnsi="標楷體" w:hint="eastAsia"/>
              </w:rPr>
              <w:t>Facebook</w:t>
            </w:r>
            <w:proofErr w:type="spellEnd"/>
            <w:r>
              <w:rPr>
                <w:rFonts w:ascii="標楷體" w:eastAsia="標楷體" w:hAnsi="標楷體" w:hint="eastAsia"/>
              </w:rPr>
              <w:t>搜尋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2015國際土壤年in Taiwan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粉絲專頁</w:t>
            </w:r>
            <w:r w:rsidRPr="0073159E">
              <w:rPr>
                <w:rFonts w:ascii="標楷體" w:eastAsia="標楷體" w:hAnsi="標楷體"/>
              </w:rPr>
              <w:sym w:font="Wingdings" w:char="F04A"/>
            </w:r>
          </w:p>
        </w:tc>
      </w:tr>
    </w:tbl>
    <w:p w:rsidR="00512107" w:rsidRDefault="00512107" w:rsidP="00512107">
      <w:pPr>
        <w:spacing w:line="360" w:lineRule="auto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512107" w:rsidRPr="00E11A0F" w:rsidRDefault="00512107" w:rsidP="00512107">
      <w:pPr>
        <w:spacing w:line="360" w:lineRule="auto"/>
        <w:jc w:val="center"/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</w:pPr>
      <w:r w:rsidRPr="00E11A0F">
        <w:rPr>
          <w:rFonts w:ascii="標楷體" w:eastAsia="標楷體" w:hAnsi="標楷體" w:hint="eastAsia"/>
          <w:sz w:val="28"/>
          <w:szCs w:val="28"/>
          <w:shd w:val="clear" w:color="auto" w:fill="FFFFFF"/>
        </w:rPr>
        <w:t>2015國際土壤年-興大土壤巡迴車3月土壤環境</w:t>
      </w:r>
      <w:proofErr w:type="gramStart"/>
      <w:r w:rsidR="00B95C3B">
        <w:rPr>
          <w:rFonts w:ascii="標楷體" w:eastAsia="標楷體" w:hAnsi="標楷體" w:hint="eastAsia"/>
          <w:sz w:val="28"/>
          <w:szCs w:val="28"/>
          <w:shd w:val="clear" w:color="auto" w:fill="FFFFFF"/>
        </w:rPr>
        <w:t>週</w:t>
      </w:r>
      <w:proofErr w:type="gramEnd"/>
      <w:r w:rsidRPr="00E11A0F">
        <w:rPr>
          <w:rFonts w:ascii="標楷體" w:eastAsia="標楷體" w:hAnsi="標楷體" w:hint="eastAsia"/>
          <w:sz w:val="28"/>
          <w:szCs w:val="28"/>
          <w:shd w:val="clear" w:color="auto" w:fill="FFFFFF"/>
        </w:rPr>
        <w:t>報名表</w:t>
      </w:r>
    </w:p>
    <w:tbl>
      <w:tblPr>
        <w:tblW w:w="91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2"/>
        <w:gridCol w:w="851"/>
        <w:gridCol w:w="992"/>
        <w:gridCol w:w="1276"/>
        <w:gridCol w:w="1701"/>
        <w:gridCol w:w="3118"/>
      </w:tblGrid>
      <w:tr w:rsidR="00512107" w:rsidRPr="00E11A0F" w:rsidTr="00290C99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連絡人(職稱)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107" w:rsidRPr="00E11A0F" w:rsidTr="00290C99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107" w:rsidRPr="00E11A0F" w:rsidTr="00290C99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2107" w:rsidRPr="00E11A0F" w:rsidTr="00290C99">
        <w:trPr>
          <w:trHeight w:val="55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希望</w:t>
            </w:r>
            <w:proofErr w:type="gramStart"/>
            <w:r w:rsidRPr="00E11A0F">
              <w:rPr>
                <w:rFonts w:ascii="標楷體" w:eastAsia="標楷體" w:hAnsi="標楷體" w:hint="eastAsia"/>
              </w:rPr>
              <w:t>土環周</w:t>
            </w:r>
            <w:proofErr w:type="gramEnd"/>
          </w:p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展演之日期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3/16上午 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3/16下午 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3/17上午 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>3/17下午</w:t>
            </w:r>
          </w:p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3/18上午 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3/18下午 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3/19上午 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>3/19下午</w:t>
            </w:r>
          </w:p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3/20上午 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3/20下午 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 xml:space="preserve">3/21上午  </w:t>
            </w:r>
            <w:r w:rsidRPr="00E11A0F">
              <w:rPr>
                <w:rFonts w:ascii="標楷體" w:eastAsia="標楷體" w:hAnsi="標楷體"/>
              </w:rPr>
              <w:t>□</w:t>
            </w:r>
            <w:r w:rsidRPr="00E11A0F">
              <w:rPr>
                <w:rFonts w:ascii="標楷體" w:eastAsia="標楷體" w:hAnsi="標楷體" w:hint="eastAsia"/>
              </w:rPr>
              <w:t>3/21下午</w:t>
            </w:r>
          </w:p>
        </w:tc>
      </w:tr>
      <w:tr w:rsidR="00512107" w:rsidRPr="00E11A0F" w:rsidTr="00290C99">
        <w:trPr>
          <w:trHeight w:val="55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512107" w:rsidRPr="00E11A0F" w:rsidRDefault="00512107" w:rsidP="00290C99">
            <w:pPr>
              <w:jc w:val="center"/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512107" w:rsidRPr="00E11A0F" w:rsidRDefault="00512107" w:rsidP="00290C99">
            <w:pPr>
              <w:rPr>
                <w:rFonts w:ascii="標楷體" w:eastAsia="標楷體" w:hAnsi="標楷體"/>
              </w:rPr>
            </w:pPr>
            <w:r w:rsidRPr="00E11A0F">
              <w:rPr>
                <w:rFonts w:ascii="標楷體" w:eastAsia="標楷體" w:hAnsi="標楷體" w:hint="eastAsia"/>
              </w:rPr>
              <w:t>1.請自行前往國立中興大學，土環</w:t>
            </w:r>
            <w:r w:rsidR="00741D07">
              <w:rPr>
                <w:rFonts w:ascii="標楷體" w:eastAsia="標楷體" w:hAnsi="標楷體" w:hint="eastAsia"/>
              </w:rPr>
              <w:t>週</w:t>
            </w:r>
            <w:r w:rsidRPr="00E11A0F">
              <w:rPr>
                <w:rFonts w:ascii="標楷體" w:eastAsia="標楷體" w:hAnsi="標楷體" w:hint="eastAsia"/>
              </w:rPr>
              <w:t>另有手作自由體驗區將酌收材料費35-50元。</w:t>
            </w:r>
          </w:p>
        </w:tc>
      </w:tr>
    </w:tbl>
    <w:p w:rsidR="00F96B7C" w:rsidRPr="00512107" w:rsidRDefault="00F96B7C" w:rsidP="00F96B7C"/>
    <w:sectPr w:rsidR="00F96B7C" w:rsidRPr="00512107" w:rsidSect="00B96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4C4" w:rsidRDefault="00B424C4" w:rsidP="00125368">
      <w:r>
        <w:separator/>
      </w:r>
    </w:p>
  </w:endnote>
  <w:endnote w:type="continuationSeparator" w:id="0">
    <w:p w:rsidR="00B424C4" w:rsidRDefault="00B424C4" w:rsidP="0012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4C4" w:rsidRDefault="00B424C4" w:rsidP="00125368">
      <w:r>
        <w:separator/>
      </w:r>
    </w:p>
  </w:footnote>
  <w:footnote w:type="continuationSeparator" w:id="0">
    <w:p w:rsidR="00B424C4" w:rsidRDefault="00B424C4" w:rsidP="00125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107"/>
    <w:rsid w:val="000B3181"/>
    <w:rsid w:val="00100642"/>
    <w:rsid w:val="00125368"/>
    <w:rsid w:val="004237D0"/>
    <w:rsid w:val="004772BC"/>
    <w:rsid w:val="00512107"/>
    <w:rsid w:val="00741D07"/>
    <w:rsid w:val="00767F56"/>
    <w:rsid w:val="0078714A"/>
    <w:rsid w:val="007F3538"/>
    <w:rsid w:val="00977D62"/>
    <w:rsid w:val="009D2AE7"/>
    <w:rsid w:val="00B424C4"/>
    <w:rsid w:val="00B70BC3"/>
    <w:rsid w:val="00B95C3B"/>
    <w:rsid w:val="00B96631"/>
    <w:rsid w:val="00CB4424"/>
    <w:rsid w:val="00DA496E"/>
    <w:rsid w:val="00F9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53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5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53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</cp:revision>
  <dcterms:created xsi:type="dcterms:W3CDTF">2015-03-05T02:52:00Z</dcterms:created>
  <dcterms:modified xsi:type="dcterms:W3CDTF">2015-03-05T02:52:00Z</dcterms:modified>
</cp:coreProperties>
</file>