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1"/>
        <w:gridCol w:w="4181"/>
      </w:tblGrid>
      <w:tr w:rsidR="00AE22C7" w:rsidTr="00AE22C7">
        <w:tc>
          <w:tcPr>
            <w:tcW w:w="4181" w:type="dxa"/>
          </w:tcPr>
          <w:p w:rsidR="00AE22C7" w:rsidRDefault="00AE22C7" w:rsidP="000E02F8">
            <w:pPr>
              <w:rPr>
                <w:rFonts w:ascii="微軟正黑體" w:eastAsia="微軟正黑體" w:hAnsi="微軟正黑體" w:cs="Arial"/>
                <w:color w:val="000000"/>
                <w:sz w:val="36"/>
                <w:szCs w:val="36"/>
              </w:rPr>
            </w:pPr>
            <w:bookmarkStart w:id="0" w:name="_GoBack"/>
            <w:bookmarkEnd w:id="0"/>
            <w:r>
              <w:rPr>
                <w:rFonts w:ascii="微軟正黑體" w:eastAsia="微軟正黑體" w:hAnsi="微軟正黑體" w:cs="Arial" w:hint="eastAsia"/>
                <w:noProof/>
                <w:color w:val="000000"/>
                <w:sz w:val="36"/>
                <w:szCs w:val="36"/>
              </w:rPr>
              <w:drawing>
                <wp:inline distT="0" distB="0" distL="0" distR="0" wp14:anchorId="652E469E" wp14:editId="3B57FE14">
                  <wp:extent cx="2369820" cy="3362714"/>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7038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619" cy="3368104"/>
                          </a:xfrm>
                          <a:prstGeom prst="rect">
                            <a:avLst/>
                          </a:prstGeom>
                        </pic:spPr>
                      </pic:pic>
                    </a:graphicData>
                  </a:graphic>
                </wp:inline>
              </w:drawing>
            </w:r>
          </w:p>
        </w:tc>
        <w:tc>
          <w:tcPr>
            <w:tcW w:w="4181" w:type="dxa"/>
          </w:tcPr>
          <w:p w:rsidR="00AE22C7" w:rsidRDefault="00AE22C7" w:rsidP="00AE22C7">
            <w:pPr>
              <w:widowControl/>
              <w:ind w:leftChars="147" w:left="353"/>
              <w:rPr>
                <w:rFonts w:ascii="細明體" w:eastAsia="細明體" w:hAnsi="細明體" w:cs="細明體"/>
                <w:color w:val="0070C0"/>
                <w:kern w:val="0"/>
                <w:sz w:val="22"/>
              </w:rPr>
            </w:pPr>
          </w:p>
          <w:p w:rsidR="00AE22C7" w:rsidRPr="00AE22C7" w:rsidRDefault="00AE22C7" w:rsidP="00AE22C7">
            <w:pPr>
              <w:widowControl/>
              <w:ind w:leftChars="147" w:left="353"/>
              <w:rPr>
                <w:rFonts w:ascii="微軟正黑體" w:eastAsia="微軟正黑體" w:hAnsi="微軟正黑體" w:cs="Arial"/>
                <w:color w:val="000000"/>
                <w:sz w:val="22"/>
              </w:rPr>
            </w:pPr>
            <w:r w:rsidRPr="00AE22C7">
              <w:rPr>
                <w:rFonts w:ascii="細明體" w:eastAsia="細明體" w:hAnsi="細明體" w:cs="細明體"/>
                <w:color w:val="0070C0"/>
                <w:kern w:val="0"/>
                <w:sz w:val="22"/>
              </w:rPr>
              <w:t>★</w:t>
            </w:r>
            <w:r w:rsidRPr="00AE22C7">
              <w:rPr>
                <w:rFonts w:ascii="Arial" w:eastAsia="新細明體" w:hAnsi="Arial" w:cs="Arial"/>
                <w:color w:val="0070C0"/>
                <w:kern w:val="0"/>
                <w:sz w:val="22"/>
              </w:rPr>
              <w:t>亞馬遜行為科學類暢銷榜　第</w:t>
            </w:r>
            <w:r w:rsidRPr="00AE22C7">
              <w:rPr>
                <w:rFonts w:ascii="Arial" w:eastAsia="新細明體" w:hAnsi="Arial" w:cs="Arial"/>
                <w:color w:val="0070C0"/>
                <w:kern w:val="0"/>
                <w:sz w:val="22"/>
              </w:rPr>
              <w:t>1</w:t>
            </w:r>
            <w:r w:rsidRPr="00AE22C7">
              <w:rPr>
                <w:rFonts w:ascii="Arial" w:eastAsia="新細明體" w:hAnsi="Arial" w:cs="Arial"/>
                <w:color w:val="0070C0"/>
                <w:kern w:val="0"/>
                <w:sz w:val="22"/>
              </w:rPr>
              <w:t>名</w:t>
            </w:r>
            <w:r w:rsidRPr="00AE22C7">
              <w:rPr>
                <w:rFonts w:ascii="Arial" w:eastAsia="新細明體" w:hAnsi="Arial" w:cs="Arial"/>
                <w:color w:val="0070C0"/>
                <w:kern w:val="0"/>
                <w:sz w:val="22"/>
              </w:rPr>
              <w:br/>
            </w:r>
            <w:r w:rsidRPr="00AE22C7">
              <w:rPr>
                <w:rFonts w:ascii="細明體" w:eastAsia="細明體" w:hAnsi="細明體" w:cs="細明體" w:hint="eastAsia"/>
                <w:color w:val="0070C0"/>
                <w:kern w:val="0"/>
                <w:sz w:val="22"/>
              </w:rPr>
              <w:t>★</w:t>
            </w:r>
            <w:r w:rsidRPr="00AE22C7">
              <w:rPr>
                <w:rFonts w:ascii="Arial" w:eastAsia="新細明體" w:hAnsi="Arial" w:cs="Arial"/>
                <w:color w:val="0070C0"/>
                <w:kern w:val="0"/>
                <w:sz w:val="22"/>
              </w:rPr>
              <w:t>亞馬遜人類學類暢銷榜　第</w:t>
            </w:r>
            <w:r w:rsidRPr="00AE22C7">
              <w:rPr>
                <w:rFonts w:ascii="Arial" w:eastAsia="新細明體" w:hAnsi="Arial" w:cs="Arial"/>
                <w:color w:val="0070C0"/>
                <w:kern w:val="0"/>
                <w:sz w:val="22"/>
              </w:rPr>
              <w:t>1</w:t>
            </w:r>
            <w:r w:rsidRPr="00AE22C7">
              <w:rPr>
                <w:rFonts w:ascii="Arial" w:eastAsia="新細明體" w:hAnsi="Arial" w:cs="Arial"/>
                <w:color w:val="0070C0"/>
                <w:kern w:val="0"/>
                <w:sz w:val="22"/>
              </w:rPr>
              <w:t>名</w:t>
            </w:r>
            <w:r w:rsidRPr="00AE22C7">
              <w:rPr>
                <w:rFonts w:ascii="Arial" w:eastAsia="新細明體" w:hAnsi="Arial" w:cs="Arial"/>
                <w:color w:val="0070C0"/>
                <w:kern w:val="0"/>
                <w:sz w:val="22"/>
              </w:rPr>
              <w:br/>
            </w:r>
            <w:r w:rsidRPr="00AE22C7">
              <w:rPr>
                <w:rFonts w:ascii="細明體" w:eastAsia="細明體" w:hAnsi="細明體" w:cs="細明體" w:hint="eastAsia"/>
                <w:color w:val="0070C0"/>
                <w:kern w:val="0"/>
                <w:sz w:val="22"/>
              </w:rPr>
              <w:t>★</w:t>
            </w:r>
            <w:r w:rsidRPr="00AE22C7">
              <w:rPr>
                <w:rFonts w:ascii="Arial" w:eastAsia="新細明體" w:hAnsi="Arial" w:cs="Arial"/>
                <w:color w:val="0070C0"/>
                <w:kern w:val="0"/>
                <w:sz w:val="22"/>
              </w:rPr>
              <w:t>亞馬遜流程與架構類暢銷榜　第</w:t>
            </w:r>
            <w:r w:rsidRPr="00AE22C7">
              <w:rPr>
                <w:rFonts w:ascii="Arial" w:eastAsia="新細明體" w:hAnsi="Arial" w:cs="Arial"/>
                <w:color w:val="0070C0"/>
                <w:kern w:val="0"/>
                <w:sz w:val="22"/>
              </w:rPr>
              <w:t>1</w:t>
            </w:r>
            <w:r w:rsidRPr="00AE22C7">
              <w:rPr>
                <w:rFonts w:ascii="Arial" w:eastAsia="新細明體" w:hAnsi="Arial" w:cs="Arial"/>
                <w:color w:val="0070C0"/>
                <w:kern w:val="0"/>
                <w:sz w:val="22"/>
              </w:rPr>
              <w:t>名</w:t>
            </w:r>
            <w:r w:rsidRPr="00AE22C7">
              <w:rPr>
                <w:rFonts w:ascii="Arial" w:eastAsia="新細明體" w:hAnsi="Arial" w:cs="Arial"/>
                <w:color w:val="0070C0"/>
                <w:kern w:val="0"/>
                <w:sz w:val="22"/>
              </w:rPr>
              <w:br/>
            </w:r>
            <w:r w:rsidRPr="00AE22C7">
              <w:rPr>
                <w:rFonts w:ascii="細明體" w:eastAsia="細明體" w:hAnsi="細明體" w:cs="細明體" w:hint="eastAsia"/>
                <w:color w:val="0070C0"/>
                <w:kern w:val="0"/>
                <w:sz w:val="22"/>
              </w:rPr>
              <w:t>★</w:t>
            </w:r>
            <w:r w:rsidRPr="00AE22C7">
              <w:rPr>
                <w:rFonts w:ascii="Arial" w:eastAsia="新細明體" w:hAnsi="Arial" w:cs="Arial"/>
                <w:color w:val="0070C0"/>
                <w:kern w:val="0"/>
                <w:sz w:val="22"/>
              </w:rPr>
              <w:t>歐美最受矚目的話題關鍵字</w:t>
            </w:r>
            <w:r w:rsidRPr="00AE22C7">
              <w:rPr>
                <w:rFonts w:ascii="Arial" w:eastAsia="新細明體" w:hAnsi="Arial" w:cs="Arial"/>
                <w:color w:val="0070C0"/>
                <w:kern w:val="0"/>
                <w:sz w:val="22"/>
              </w:rPr>
              <w:br/>
            </w:r>
            <w:r w:rsidRPr="00AE22C7">
              <w:rPr>
                <w:rFonts w:ascii="細明體" w:eastAsia="細明體" w:hAnsi="細明體" w:cs="細明體" w:hint="eastAsia"/>
                <w:color w:val="0070C0"/>
                <w:kern w:val="0"/>
                <w:sz w:val="22"/>
              </w:rPr>
              <w:t>★</w:t>
            </w:r>
            <w:r w:rsidRPr="00AE22C7">
              <w:rPr>
                <w:rFonts w:ascii="Arial" w:eastAsia="新細明體" w:hAnsi="Arial" w:cs="Arial"/>
                <w:color w:val="0070C0"/>
                <w:kern w:val="0"/>
                <w:sz w:val="22"/>
              </w:rPr>
              <w:t>CNN</w:t>
            </w:r>
            <w:r w:rsidRPr="00AE22C7">
              <w:rPr>
                <w:rFonts w:ascii="Arial" w:eastAsia="新細明體" w:hAnsi="Arial" w:cs="Arial"/>
                <w:color w:val="0070C0"/>
                <w:kern w:val="0"/>
                <w:sz w:val="22"/>
              </w:rPr>
              <w:t>、《金融時報》、</w:t>
            </w:r>
            <w:r w:rsidRPr="00AE22C7">
              <w:rPr>
                <w:rFonts w:ascii="Arial" w:eastAsia="新細明體" w:hAnsi="Arial" w:cs="Arial"/>
                <w:color w:val="0070C0"/>
                <w:kern w:val="0"/>
                <w:sz w:val="22"/>
              </w:rPr>
              <w:t xml:space="preserve"> </w:t>
            </w:r>
            <w:r w:rsidRPr="00AE22C7">
              <w:rPr>
                <w:rFonts w:ascii="Arial" w:eastAsia="新細明體" w:hAnsi="Arial" w:cs="Arial"/>
                <w:color w:val="0070C0"/>
                <w:kern w:val="0"/>
                <w:sz w:val="22"/>
              </w:rPr>
              <w:t>《經濟學人》、《觀察家報》、《衛報》多家媒體推薦報導</w:t>
            </w:r>
            <w:r w:rsidRPr="00AE22C7">
              <w:rPr>
                <w:rFonts w:ascii="Arial" w:eastAsia="新細明體" w:hAnsi="Arial" w:cs="Arial"/>
                <w:color w:val="0070C0"/>
                <w:kern w:val="0"/>
                <w:sz w:val="22"/>
              </w:rPr>
              <w:br/>
            </w:r>
            <w:r w:rsidRPr="00AE22C7">
              <w:rPr>
                <w:rFonts w:ascii="Arial" w:eastAsia="新細明體" w:hAnsi="Arial" w:cs="Arial"/>
                <w:color w:val="0070C0"/>
                <w:kern w:val="0"/>
                <w:sz w:val="22"/>
              </w:rPr>
              <w:br/>
            </w:r>
            <w:r w:rsidRPr="00AE22C7">
              <w:rPr>
                <w:rFonts w:ascii="Arial" w:eastAsia="新細明體" w:hAnsi="Arial" w:cs="Arial"/>
                <w:color w:val="0070C0"/>
                <w:kern w:val="0"/>
                <w:sz w:val="22"/>
              </w:rPr>
              <w:t>金融風暴、</w:t>
            </w:r>
            <w:r w:rsidRPr="00AE22C7">
              <w:rPr>
                <w:rFonts w:ascii="Arial" w:eastAsia="新細明體" w:hAnsi="Arial" w:cs="Arial"/>
                <w:color w:val="0070C0"/>
                <w:kern w:val="0"/>
                <w:sz w:val="22"/>
              </w:rPr>
              <w:t>911</w:t>
            </w:r>
            <w:r w:rsidRPr="00AE22C7">
              <w:rPr>
                <w:rFonts w:ascii="Arial" w:eastAsia="新細明體" w:hAnsi="Arial" w:cs="Arial"/>
                <w:color w:val="0070C0"/>
                <w:kern w:val="0"/>
                <w:sz w:val="22"/>
              </w:rPr>
              <w:t>恐攻事件、</w:t>
            </w:r>
            <w:r w:rsidRPr="00AE22C7">
              <w:rPr>
                <w:rFonts w:ascii="Arial" w:eastAsia="新細明體" w:hAnsi="Arial" w:cs="Arial"/>
                <w:color w:val="0070C0"/>
                <w:kern w:val="0"/>
                <w:sz w:val="22"/>
              </w:rPr>
              <w:t>SONY</w:t>
            </w:r>
            <w:r w:rsidRPr="00AE22C7">
              <w:rPr>
                <w:rFonts w:ascii="Arial" w:eastAsia="新細明體" w:hAnsi="Arial" w:cs="Arial"/>
                <w:color w:val="0070C0"/>
                <w:kern w:val="0"/>
                <w:sz w:val="22"/>
              </w:rPr>
              <w:t>衰退、</w:t>
            </w:r>
            <w:r w:rsidRPr="00AE22C7">
              <w:rPr>
                <w:rFonts w:ascii="Arial" w:eastAsia="新細明體" w:hAnsi="Arial" w:cs="Arial"/>
                <w:color w:val="0070C0"/>
                <w:kern w:val="0"/>
                <w:sz w:val="22"/>
              </w:rPr>
              <w:t>Facebook</w:t>
            </w:r>
            <w:r w:rsidRPr="00AE22C7">
              <w:rPr>
                <w:rFonts w:ascii="Arial" w:eastAsia="新細明體" w:hAnsi="Arial" w:cs="Arial"/>
                <w:color w:val="0070C0"/>
                <w:kern w:val="0"/>
                <w:sz w:val="22"/>
              </w:rPr>
              <w:t>崛起</w:t>
            </w:r>
            <w:r w:rsidRPr="00AE22C7">
              <w:rPr>
                <w:rFonts w:ascii="Arial" w:eastAsia="新細明體" w:hAnsi="Arial" w:cs="Arial"/>
                <w:color w:val="0070C0"/>
                <w:kern w:val="0"/>
                <w:sz w:val="22"/>
              </w:rPr>
              <w:t>……</w:t>
            </w:r>
            <w:r w:rsidRPr="00AE22C7">
              <w:rPr>
                <w:rFonts w:ascii="Arial" w:eastAsia="新細明體" w:hAnsi="Arial" w:cs="Arial"/>
                <w:color w:val="0070C0"/>
                <w:kern w:val="0"/>
                <w:sz w:val="22"/>
              </w:rPr>
              <w:br/>
            </w:r>
            <w:r w:rsidRPr="00AE22C7">
              <w:rPr>
                <w:rFonts w:ascii="Arial" w:eastAsia="新細明體" w:hAnsi="Arial" w:cs="Arial"/>
                <w:color w:val="0070C0"/>
                <w:kern w:val="0"/>
                <w:sz w:val="22"/>
              </w:rPr>
              <w:t>這些看似無關，卻都有一個被嚴重忽視的共通點</w:t>
            </w:r>
            <w:r w:rsidRPr="00AE22C7">
              <w:rPr>
                <w:rFonts w:ascii="Arial" w:eastAsia="新細明體" w:hAnsi="Arial" w:cs="Arial"/>
                <w:color w:val="0070C0"/>
                <w:kern w:val="0"/>
                <w:sz w:val="22"/>
              </w:rPr>
              <w:t>──</w:t>
            </w:r>
            <w:r w:rsidRPr="00AE22C7">
              <w:rPr>
                <w:rFonts w:ascii="Arial" w:eastAsia="新細明體" w:hAnsi="Arial" w:cs="Arial"/>
                <w:color w:val="0070C0"/>
                <w:kern w:val="0"/>
                <w:sz w:val="22"/>
              </w:rPr>
              <w:t xml:space="preserve">穀倉效應！　</w:t>
            </w:r>
          </w:p>
        </w:tc>
      </w:tr>
    </w:tbl>
    <w:p w:rsidR="00AE22C7" w:rsidRDefault="00AE22C7" w:rsidP="000E02F8">
      <w:pPr>
        <w:rPr>
          <w:rFonts w:ascii="微軟正黑體" w:eastAsia="微軟正黑體" w:hAnsi="微軟正黑體" w:cs="Arial"/>
          <w:color w:val="000000"/>
          <w:sz w:val="36"/>
          <w:szCs w:val="36"/>
        </w:rPr>
      </w:pPr>
    </w:p>
    <w:p w:rsidR="005729F0" w:rsidRDefault="000E02F8" w:rsidP="000E02F8">
      <w:r>
        <w:rPr>
          <w:rFonts w:ascii="微軟正黑體" w:eastAsia="微軟正黑體" w:hAnsi="微軟正黑體" w:cs="Arial" w:hint="eastAsia"/>
          <w:color w:val="000000"/>
          <w:sz w:val="36"/>
          <w:szCs w:val="36"/>
        </w:rPr>
        <w:t>創新美好的前景，就從擁有新視野展開。《穀倉效應》</w:t>
      </w:r>
      <w:r>
        <w:rPr>
          <w:rFonts w:hint="eastAsia"/>
        </w:rPr>
        <w:t xml:space="preserve">     </w:t>
      </w:r>
    </w:p>
    <w:p w:rsidR="000E02F8" w:rsidRDefault="000E02F8" w:rsidP="000E02F8">
      <w:r>
        <w:rPr>
          <w:rFonts w:hint="eastAsia"/>
        </w:rPr>
        <w:t xml:space="preserve">                                 </w:t>
      </w:r>
      <w:r w:rsidR="00AE22C7">
        <w:rPr>
          <w:rFonts w:hint="eastAsia"/>
        </w:rPr>
        <w:t xml:space="preserve">         </w:t>
      </w:r>
      <w:r>
        <w:rPr>
          <w:rFonts w:hint="eastAsia"/>
        </w:rPr>
        <w:t xml:space="preserve">  </w:t>
      </w:r>
      <w:r w:rsidR="005729F0">
        <w:rPr>
          <w:rFonts w:hint="eastAsia"/>
        </w:rPr>
        <w:t>摘錄自博客來</w:t>
      </w:r>
      <w:r w:rsidR="005729F0">
        <w:rPr>
          <w:rFonts w:hint="eastAsia"/>
        </w:rPr>
        <w:t>2016</w:t>
      </w:r>
      <w:r w:rsidR="005729F0">
        <w:rPr>
          <w:rFonts w:hint="eastAsia"/>
        </w:rPr>
        <w:t>年度選書</w:t>
      </w:r>
    </w:p>
    <w:p w:rsidR="00AE22C7" w:rsidRDefault="00AE22C7" w:rsidP="000E02F8"/>
    <w:p w:rsidR="000E02F8" w:rsidRPr="005729F0" w:rsidRDefault="000E02F8" w:rsidP="00AE22C7">
      <w:pPr>
        <w:spacing w:line="360" w:lineRule="exact"/>
        <w:ind w:firstLineChars="200" w:firstLine="480"/>
        <w:rPr>
          <w:rFonts w:ascii="微軟正黑體" w:eastAsia="微軟正黑體" w:hAnsi="微軟正黑體"/>
        </w:rPr>
      </w:pPr>
      <w:r w:rsidRPr="005729F0">
        <w:rPr>
          <w:rFonts w:ascii="微軟正黑體" w:eastAsia="微軟正黑體" w:hAnsi="微軟正黑體" w:hint="eastAsia"/>
        </w:rPr>
        <w:t>二十一世紀的世界已經無比複雜專業，我們得仰賴專業分工從中建立秩序，這是發展需求之必然。但當分工分類定型，也極有可能落入系統僵化導致難以面對快速變化與高連結大環境的處境。如何在定型的分工系統保持洞見，美國《金融時報》專欄作家吉蓮．邰蒂於《穀倉效應》有非常精采深入的探討。</w:t>
      </w:r>
    </w:p>
    <w:p w:rsidR="000E02F8" w:rsidRPr="005729F0" w:rsidRDefault="000E02F8" w:rsidP="00AE22C7">
      <w:pPr>
        <w:spacing w:line="360" w:lineRule="exact"/>
        <w:ind w:firstLineChars="200" w:firstLine="480"/>
        <w:rPr>
          <w:rFonts w:ascii="微軟正黑體" w:eastAsia="微軟正黑體" w:hAnsi="微軟正黑體"/>
        </w:rPr>
      </w:pPr>
    </w:p>
    <w:p w:rsidR="000E02F8" w:rsidRPr="005729F0" w:rsidRDefault="000E02F8" w:rsidP="00AE22C7">
      <w:pPr>
        <w:spacing w:line="360" w:lineRule="exact"/>
        <w:ind w:firstLineChars="200" w:firstLine="480"/>
        <w:rPr>
          <w:rFonts w:ascii="微軟正黑體" w:eastAsia="微軟正黑體" w:hAnsi="微軟正黑體"/>
        </w:rPr>
      </w:pPr>
      <w:r w:rsidRPr="005729F0">
        <w:rPr>
          <w:rFonts w:ascii="微軟正黑體" w:eastAsia="微軟正黑體" w:hAnsi="微軟正黑體" w:hint="eastAsia"/>
        </w:rPr>
        <w:t>《穀倉效應》提到如果把穀倉定義為分工專業的小群體，則穀倉是必然且無可避免。但「為什麼分工反而造成個人失去競爭力、企業崩壞、政府無能、經濟失控？」本書重點並非在於「反穀倉」，而是借鏡人類學的角度，啟發我們反思自己社會裡的分類系統。「穀倉」就是一種文化現象，分類（分工）往往源自於我們無意間從周遭環境接收到的規則、傳統與慣例，而人類學家則擅長保持超然的眼光留意這些分類系統。</w:t>
      </w:r>
    </w:p>
    <w:p w:rsidR="000E02F8" w:rsidRPr="005729F0" w:rsidRDefault="000E02F8" w:rsidP="00AE22C7">
      <w:pPr>
        <w:spacing w:line="360" w:lineRule="exact"/>
        <w:ind w:firstLineChars="200" w:firstLine="480"/>
        <w:rPr>
          <w:rFonts w:ascii="微軟正黑體" w:eastAsia="微軟正黑體" w:hAnsi="微軟正黑體"/>
        </w:rPr>
      </w:pPr>
    </w:p>
    <w:p w:rsidR="00AE22C7" w:rsidRDefault="000E02F8" w:rsidP="00AE22C7">
      <w:pPr>
        <w:spacing w:line="360" w:lineRule="exact"/>
        <w:ind w:firstLineChars="200" w:firstLine="480"/>
        <w:rPr>
          <w:rFonts w:ascii="微軟正黑體" w:eastAsia="微軟正黑體" w:hAnsi="微軟正黑體"/>
        </w:rPr>
      </w:pPr>
      <w:r w:rsidRPr="005729F0">
        <w:rPr>
          <w:rFonts w:ascii="微軟正黑體" w:eastAsia="微軟正黑體" w:hAnsi="微軟正黑體" w:hint="eastAsia"/>
        </w:rPr>
        <w:t>從分類系統的不合宜，往往就能找到創見的火苗，而創新也不見得需要大改變，有時候只需要把各自封閉的穀倉資料加以整合思考即可。能夠懂得運用人類學家的視角看世界，就像練就終生受用的內功心法，無論潮流趨勢如何變化、個人志趣、發展領域，一雙跨越局內局外的觀察目光，始終會帶領我們前往更嶄新美好的新世界。</w:t>
      </w:r>
    </w:p>
    <w:tbl>
      <w:tblPr>
        <w:tblStyle w:val="a5"/>
        <w:tblW w:w="93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09409C" w:rsidRPr="0009409C" w:rsidTr="006B0D68">
        <w:trPr>
          <w:trHeight w:val="1975"/>
        </w:trPr>
        <w:tc>
          <w:tcPr>
            <w:tcW w:w="2410" w:type="dxa"/>
            <w:shd w:val="clear" w:color="auto" w:fill="EAF1DD" w:themeFill="accent3" w:themeFillTint="33"/>
          </w:tcPr>
          <w:p w:rsidR="0009409C" w:rsidRPr="0009409C" w:rsidRDefault="00AE22C7" w:rsidP="0009409C">
            <w:pPr>
              <w:widowControl/>
              <w:rPr>
                <w:rFonts w:ascii="微軟正黑體" w:eastAsia="微軟正黑體" w:hAnsi="微軟正黑體"/>
                <w:szCs w:val="24"/>
              </w:rPr>
            </w:pPr>
            <w:r w:rsidRPr="0009409C">
              <w:rPr>
                <w:rFonts w:ascii="微軟正黑體" w:eastAsia="微軟正黑體" w:hAnsi="微軟正黑體"/>
                <w:szCs w:val="24"/>
              </w:rPr>
              <w:lastRenderedPageBreak/>
              <w:br w:type="page"/>
            </w:r>
            <w:r w:rsidR="0009409C" w:rsidRPr="0009409C">
              <w:rPr>
                <w:rFonts w:ascii="微軟正黑體" w:eastAsia="微軟正黑體" w:hAnsi="微軟正黑體" w:hint="eastAsia"/>
                <w:noProof/>
                <w:szCs w:val="24"/>
              </w:rPr>
              <w:drawing>
                <wp:inline distT="0" distB="0" distL="0" distR="0" wp14:anchorId="39BB2792" wp14:editId="5BE9F1DD">
                  <wp:extent cx="1310640" cy="1252389"/>
                  <wp:effectExtent l="0" t="0" r="381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image002_gif@01D2B208.gif"/>
                          <pic:cNvPicPr/>
                        </pic:nvPicPr>
                        <pic:blipFill>
                          <a:blip r:embed="rId9">
                            <a:extLst>
                              <a:ext uri="{28A0092B-C50C-407E-A947-70E740481C1C}">
                                <a14:useLocalDpi xmlns:a14="http://schemas.microsoft.com/office/drawing/2010/main" val="0"/>
                              </a:ext>
                            </a:extLst>
                          </a:blip>
                          <a:stretch>
                            <a:fillRect/>
                          </a:stretch>
                        </pic:blipFill>
                        <pic:spPr>
                          <a:xfrm>
                            <a:off x="0" y="0"/>
                            <a:ext cx="1310640" cy="1252389"/>
                          </a:xfrm>
                          <a:prstGeom prst="rect">
                            <a:avLst/>
                          </a:prstGeom>
                        </pic:spPr>
                      </pic:pic>
                    </a:graphicData>
                  </a:graphic>
                </wp:inline>
              </w:drawing>
            </w:r>
          </w:p>
        </w:tc>
        <w:tc>
          <w:tcPr>
            <w:tcW w:w="6946" w:type="dxa"/>
            <w:shd w:val="clear" w:color="auto" w:fill="EAF1DD" w:themeFill="accent3" w:themeFillTint="33"/>
            <w:vAlign w:val="center"/>
          </w:tcPr>
          <w:p w:rsidR="0009409C" w:rsidRPr="006B0D68" w:rsidRDefault="006B0D68" w:rsidP="006B0D68">
            <w:pPr>
              <w:widowControl/>
              <w:snapToGrid w:val="0"/>
              <w:spacing w:beforeLines="50" w:before="180" w:line="300" w:lineRule="exact"/>
              <w:ind w:left="630"/>
              <w:rPr>
                <w:rFonts w:ascii="微軟正黑體" w:eastAsia="微軟正黑體" w:hAnsi="微軟正黑體" w:cs="新細明體"/>
                <w:kern w:val="0"/>
                <w:szCs w:val="24"/>
              </w:rPr>
            </w:pPr>
            <w:r w:rsidRPr="006B0D68">
              <w:rPr>
                <w:rFonts w:ascii="微軟正黑體" w:eastAsia="微軟正黑體" w:hAnsi="微軟正黑體" w:hint="eastAsia"/>
                <w:sz w:val="36"/>
                <w:szCs w:val="36"/>
              </w:rPr>
              <w:t>薛良凱</w:t>
            </w:r>
            <w:r w:rsidR="0009409C" w:rsidRPr="006B0D68">
              <w:rPr>
                <w:rFonts w:ascii="微軟正黑體" w:eastAsia="微軟正黑體" w:hAnsi="微軟正黑體" w:hint="eastAsia"/>
                <w:sz w:val="36"/>
                <w:szCs w:val="36"/>
              </w:rPr>
              <w:t>簡介</w:t>
            </w:r>
          </w:p>
        </w:tc>
      </w:tr>
      <w:tr w:rsidR="00944FE2" w:rsidRPr="0009409C" w:rsidTr="0009409C">
        <w:tc>
          <w:tcPr>
            <w:tcW w:w="2410" w:type="dxa"/>
            <w:shd w:val="clear" w:color="auto" w:fill="D6E3BC" w:themeFill="accent3" w:themeFillTint="66"/>
            <w:vAlign w:val="center"/>
          </w:tcPr>
          <w:p w:rsidR="00944FE2" w:rsidRPr="0009409C" w:rsidRDefault="00944FE2" w:rsidP="0009409C">
            <w:pPr>
              <w:widowControl/>
              <w:jc w:val="center"/>
              <w:rPr>
                <w:rFonts w:ascii="微軟正黑體" w:eastAsia="微軟正黑體" w:hAnsi="微軟正黑體"/>
                <w:szCs w:val="24"/>
              </w:rPr>
            </w:pPr>
            <w:r w:rsidRPr="0009409C">
              <w:rPr>
                <w:rFonts w:ascii="微軟正黑體" w:eastAsia="微軟正黑體" w:hAnsi="微軟正黑體" w:hint="eastAsia"/>
                <w:szCs w:val="24"/>
              </w:rPr>
              <w:t>現職</w:t>
            </w:r>
          </w:p>
        </w:tc>
        <w:tc>
          <w:tcPr>
            <w:tcW w:w="6946" w:type="dxa"/>
            <w:shd w:val="clear" w:color="auto" w:fill="D6E3BC" w:themeFill="accent3" w:themeFillTint="66"/>
          </w:tcPr>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臺灣社會向上發展協會　理事長</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普拉爵文創顧問團隊　執行創意總監</w:t>
            </w:r>
          </w:p>
          <w:p w:rsidR="0009409C" w:rsidRPr="0009409C" w:rsidRDefault="00944FE2" w:rsidP="0009409C">
            <w:pPr>
              <w:widowControl/>
              <w:numPr>
                <w:ilvl w:val="0"/>
                <w:numId w:val="1"/>
              </w:numPr>
              <w:snapToGrid w:val="0"/>
              <w:spacing w:beforeLines="50" w:before="180" w:line="300" w:lineRule="exact"/>
              <w:ind w:left="630"/>
              <w:rPr>
                <w:rFonts w:ascii="微軟正黑體" w:eastAsia="微軟正黑體" w:hAnsi="微軟正黑體"/>
                <w:szCs w:val="24"/>
              </w:rPr>
            </w:pPr>
            <w:r w:rsidRPr="00944FE2">
              <w:rPr>
                <w:rFonts w:ascii="微軟正黑體" w:eastAsia="微軟正黑體" w:hAnsi="微軟正黑體" w:cs="新細明體" w:hint="eastAsia"/>
                <w:kern w:val="0"/>
                <w:szCs w:val="24"/>
              </w:rPr>
              <w:t>國立臺灣大學</w:t>
            </w:r>
            <w:r w:rsidRPr="00944FE2">
              <w:rPr>
                <w:rFonts w:ascii="微軟正黑體" w:eastAsia="微軟正黑體" w:hAnsi="微軟正黑體" w:cs="Times New Roman"/>
                <w:kern w:val="0"/>
                <w:szCs w:val="24"/>
              </w:rPr>
              <w:t>EMBA</w:t>
            </w:r>
            <w:r w:rsidRPr="00944FE2">
              <w:rPr>
                <w:rFonts w:ascii="微軟正黑體" w:eastAsia="微軟正黑體" w:hAnsi="微軟正黑體" w:cs="新細明體" w:hint="eastAsia"/>
                <w:kern w:val="0"/>
                <w:szCs w:val="24"/>
              </w:rPr>
              <w:t>講師（開設創意與創造課程）</w:t>
            </w:r>
          </w:p>
          <w:p w:rsidR="0009409C" w:rsidRPr="0009409C" w:rsidRDefault="0009409C" w:rsidP="0009409C">
            <w:pPr>
              <w:widowControl/>
              <w:snapToGrid w:val="0"/>
              <w:spacing w:beforeLines="50" w:before="180" w:line="300" w:lineRule="exact"/>
              <w:ind w:left="630"/>
              <w:rPr>
                <w:rFonts w:ascii="微軟正黑體" w:eastAsia="微軟正黑體" w:hAnsi="微軟正黑體"/>
                <w:szCs w:val="24"/>
              </w:rPr>
            </w:pPr>
          </w:p>
        </w:tc>
      </w:tr>
      <w:tr w:rsidR="00944FE2" w:rsidRPr="0009409C" w:rsidTr="0009409C">
        <w:tc>
          <w:tcPr>
            <w:tcW w:w="2410" w:type="dxa"/>
            <w:shd w:val="clear" w:color="auto" w:fill="EAF1DD" w:themeFill="accent3" w:themeFillTint="33"/>
            <w:vAlign w:val="center"/>
          </w:tcPr>
          <w:p w:rsidR="00944FE2" w:rsidRPr="0009409C" w:rsidRDefault="00944FE2" w:rsidP="0009409C">
            <w:pPr>
              <w:widowControl/>
              <w:jc w:val="center"/>
              <w:rPr>
                <w:rFonts w:ascii="微軟正黑體" w:eastAsia="微軟正黑體" w:hAnsi="微軟正黑體"/>
                <w:szCs w:val="24"/>
              </w:rPr>
            </w:pPr>
            <w:r w:rsidRPr="0009409C">
              <w:rPr>
                <w:rFonts w:ascii="微軟正黑體" w:eastAsia="微軟正黑體" w:hAnsi="微軟正黑體" w:hint="eastAsia"/>
                <w:szCs w:val="24"/>
              </w:rPr>
              <w:t>經歷</w:t>
            </w:r>
          </w:p>
        </w:tc>
        <w:tc>
          <w:tcPr>
            <w:tcW w:w="6946" w:type="dxa"/>
            <w:shd w:val="clear" w:color="auto" w:fill="EAF1DD" w:themeFill="accent3" w:themeFillTint="33"/>
          </w:tcPr>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誠品書店事業處　營運長</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國立故宮博物院　顧問</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博庫數碼科技股份有限公司　總經理</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Times New Roman"/>
                <w:kern w:val="0"/>
                <w:szCs w:val="24"/>
              </w:rPr>
              <w:t>PC home</w:t>
            </w:r>
            <w:r w:rsidRPr="00944FE2">
              <w:rPr>
                <w:rFonts w:ascii="微軟正黑體" w:eastAsia="微軟正黑體" w:hAnsi="微軟正黑體" w:cs="新細明體" w:hint="eastAsia"/>
                <w:kern w:val="0"/>
                <w:szCs w:val="24"/>
              </w:rPr>
              <w:t>雜誌　總編輯</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文化部　顧問</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Times New Roman"/>
                <w:kern w:val="0"/>
                <w:szCs w:val="24"/>
              </w:rPr>
              <w:t>Cite</w:t>
            </w:r>
            <w:r w:rsidRPr="00944FE2">
              <w:rPr>
                <w:rFonts w:ascii="微軟正黑體" w:eastAsia="微軟正黑體" w:hAnsi="微軟正黑體" w:cs="新細明體" w:hint="eastAsia"/>
                <w:kern w:val="0"/>
                <w:szCs w:val="24"/>
              </w:rPr>
              <w:t>城邦出版　總經理</w:t>
            </w:r>
          </w:p>
          <w:p w:rsidR="00944FE2" w:rsidRPr="00944FE2" w:rsidRDefault="00944FE2" w:rsidP="00944FE2">
            <w:pPr>
              <w:widowControl/>
              <w:numPr>
                <w:ilvl w:val="0"/>
                <w:numId w:val="1"/>
              </w:numPr>
              <w:snapToGrid w:val="0"/>
              <w:spacing w:beforeLines="50" w:before="180" w:line="300" w:lineRule="exact"/>
              <w:ind w:left="630"/>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學學文創志業　講師</w:t>
            </w:r>
          </w:p>
          <w:p w:rsidR="00944FE2" w:rsidRPr="0009409C" w:rsidRDefault="00944FE2" w:rsidP="00944FE2">
            <w:pPr>
              <w:widowControl/>
              <w:numPr>
                <w:ilvl w:val="0"/>
                <w:numId w:val="1"/>
              </w:numPr>
              <w:snapToGrid w:val="0"/>
              <w:spacing w:beforeLines="50" w:before="180" w:line="300" w:lineRule="exact"/>
              <w:ind w:left="632" w:hanging="482"/>
              <w:rPr>
                <w:rFonts w:ascii="微軟正黑體" w:eastAsia="微軟正黑體" w:hAnsi="微軟正黑體"/>
                <w:szCs w:val="24"/>
              </w:rPr>
            </w:pPr>
            <w:r w:rsidRPr="00944FE2">
              <w:rPr>
                <w:rFonts w:ascii="微軟正黑體" w:eastAsia="微軟正黑體" w:hAnsi="微軟正黑體" w:cs="新細明體" w:hint="eastAsia"/>
                <w:kern w:val="0"/>
                <w:szCs w:val="24"/>
              </w:rPr>
              <w:t>數家上市櫃公司　顧問</w:t>
            </w:r>
          </w:p>
          <w:p w:rsidR="0009409C" w:rsidRPr="0009409C" w:rsidRDefault="0009409C" w:rsidP="0009409C">
            <w:pPr>
              <w:widowControl/>
              <w:snapToGrid w:val="0"/>
              <w:spacing w:beforeLines="50" w:before="180" w:line="300" w:lineRule="exact"/>
              <w:ind w:left="632"/>
              <w:rPr>
                <w:rFonts w:ascii="微軟正黑體" w:eastAsia="微軟正黑體" w:hAnsi="微軟正黑體"/>
                <w:szCs w:val="24"/>
              </w:rPr>
            </w:pPr>
          </w:p>
        </w:tc>
      </w:tr>
      <w:tr w:rsidR="00944FE2" w:rsidRPr="0009409C" w:rsidTr="0009409C">
        <w:trPr>
          <w:trHeight w:val="5029"/>
        </w:trPr>
        <w:tc>
          <w:tcPr>
            <w:tcW w:w="2410" w:type="dxa"/>
            <w:shd w:val="clear" w:color="auto" w:fill="D6E3BC" w:themeFill="accent3" w:themeFillTint="66"/>
            <w:vAlign w:val="center"/>
          </w:tcPr>
          <w:p w:rsidR="00944FE2" w:rsidRPr="0009409C" w:rsidRDefault="00944FE2" w:rsidP="0009409C">
            <w:pPr>
              <w:widowControl/>
              <w:jc w:val="center"/>
              <w:rPr>
                <w:rFonts w:ascii="微軟正黑體" w:eastAsia="微軟正黑體" w:hAnsi="微軟正黑體"/>
                <w:szCs w:val="24"/>
              </w:rPr>
            </w:pPr>
            <w:r w:rsidRPr="0009409C">
              <w:rPr>
                <w:rFonts w:ascii="微軟正黑體" w:eastAsia="微軟正黑體" w:hAnsi="微軟正黑體" w:hint="eastAsia"/>
                <w:szCs w:val="24"/>
              </w:rPr>
              <w:t>簡介</w:t>
            </w:r>
          </w:p>
        </w:tc>
        <w:tc>
          <w:tcPr>
            <w:tcW w:w="6946" w:type="dxa"/>
            <w:shd w:val="clear" w:color="auto" w:fill="D6E3BC" w:themeFill="accent3" w:themeFillTint="66"/>
          </w:tcPr>
          <w:p w:rsidR="00944FE2" w:rsidRPr="00944FE2" w:rsidRDefault="00944FE2" w:rsidP="0009409C">
            <w:pPr>
              <w:widowControl/>
              <w:snapToGrid w:val="0"/>
              <w:spacing w:after="100" w:afterAutospacing="1" w:line="460" w:lineRule="exact"/>
              <w:rPr>
                <w:rFonts w:ascii="微軟正黑體" w:eastAsia="微軟正黑體" w:hAnsi="微軟正黑體" w:cs="Times New Roman"/>
                <w:kern w:val="0"/>
                <w:szCs w:val="24"/>
              </w:rPr>
            </w:pPr>
            <w:r w:rsidRPr="00944FE2">
              <w:rPr>
                <w:rFonts w:ascii="微軟正黑體" w:eastAsia="微軟正黑體" w:hAnsi="微軟正黑體" w:cs="新細明體" w:hint="eastAsia"/>
                <w:kern w:val="0"/>
                <w:szCs w:val="24"/>
              </w:rPr>
              <w:t>綽號福克斯，在朋友眼中，薛良凱是一個專門幫人解決問題的人。工作一直都跟寫作、教育、顧問、出版、創意、行銷、公益有關。對古埃及文化有濃厚興趣，是福克斯的古埃及文學校網站的創辦人。</w:t>
            </w:r>
          </w:p>
          <w:p w:rsidR="00944FE2" w:rsidRPr="0009409C" w:rsidRDefault="00944FE2" w:rsidP="0009409C">
            <w:pPr>
              <w:widowControl/>
              <w:snapToGrid w:val="0"/>
              <w:spacing w:after="100" w:afterAutospacing="1" w:line="460" w:lineRule="exact"/>
              <w:rPr>
                <w:rFonts w:ascii="微軟正黑體" w:eastAsia="微軟正黑體" w:hAnsi="微軟正黑體"/>
                <w:szCs w:val="24"/>
              </w:rPr>
            </w:pPr>
            <w:r w:rsidRPr="00944FE2">
              <w:rPr>
                <w:rFonts w:ascii="微軟正黑體" w:eastAsia="微軟正黑體" w:hAnsi="微軟正黑體" w:cs="新細明體" w:hint="eastAsia"/>
                <w:kern w:val="0"/>
                <w:szCs w:val="24"/>
              </w:rPr>
              <w:t xml:space="preserve">　　具備多年資深主管經驗，長期負責戰略規劃、團隊建立、媒體宣傳、大型行銷活動與空間設計經驗，工作專業橫跨生產、媒體、零售三大塊。擔任企業與國家機構顧問超過十年，長期累積的多元經歷，充分應用在消費心理、人際關係、媒體行銷上。從</w:t>
            </w:r>
            <w:r w:rsidRPr="00944FE2">
              <w:rPr>
                <w:rFonts w:ascii="微軟正黑體" w:eastAsia="微軟正黑體" w:hAnsi="微軟正黑體" w:cs="Times New Roman"/>
                <w:kern w:val="0"/>
                <w:szCs w:val="24"/>
              </w:rPr>
              <w:t>2005</w:t>
            </w:r>
            <w:r w:rsidRPr="00944FE2">
              <w:rPr>
                <w:rFonts w:ascii="微軟正黑體" w:eastAsia="微軟正黑體" w:hAnsi="微軟正黑體" w:cs="新細明體" w:hint="eastAsia"/>
                <w:kern w:val="0"/>
                <w:szCs w:val="24"/>
              </w:rPr>
              <w:t>年起，開始投入研究人類大腦與行為科學，並開創獨特的心靈智慧、創意、團隊教學法，於國內外學校、機構開班授課。</w:t>
            </w:r>
            <w:r w:rsidRPr="0009409C">
              <w:rPr>
                <w:rFonts w:ascii="微軟正黑體" w:eastAsia="微軟正黑體" w:hAnsi="微軟正黑體" w:cs="Times New Roman"/>
                <w:b/>
                <w:bCs/>
                <w:kern w:val="0"/>
                <w:szCs w:val="24"/>
              </w:rPr>
              <w:br w:type="page"/>
            </w:r>
          </w:p>
        </w:tc>
      </w:tr>
    </w:tbl>
    <w:p w:rsidR="000E02F8" w:rsidRPr="005729F0" w:rsidRDefault="000E02F8" w:rsidP="0009409C">
      <w:pPr>
        <w:spacing w:line="360" w:lineRule="exact"/>
        <w:rPr>
          <w:rFonts w:ascii="微軟正黑體" w:eastAsia="微軟正黑體" w:hAnsi="微軟正黑體"/>
        </w:rPr>
      </w:pPr>
    </w:p>
    <w:sectPr w:rsidR="000E02F8" w:rsidRPr="005729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A2" w:rsidRDefault="00A224A2" w:rsidP="00A224A2">
      <w:r>
        <w:separator/>
      </w:r>
    </w:p>
  </w:endnote>
  <w:endnote w:type="continuationSeparator" w:id="0">
    <w:p w:rsidR="00A224A2" w:rsidRDefault="00A224A2" w:rsidP="00A2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A2" w:rsidRDefault="00A224A2" w:rsidP="00A224A2">
      <w:r>
        <w:separator/>
      </w:r>
    </w:p>
  </w:footnote>
  <w:footnote w:type="continuationSeparator" w:id="0">
    <w:p w:rsidR="00A224A2" w:rsidRDefault="00A224A2" w:rsidP="00A22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D140C"/>
    <w:multiLevelType w:val="hybridMultilevel"/>
    <w:tmpl w:val="95241AD8"/>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F8"/>
    <w:rsid w:val="0009409C"/>
    <w:rsid w:val="000E02F8"/>
    <w:rsid w:val="001B62EA"/>
    <w:rsid w:val="005729F0"/>
    <w:rsid w:val="006B0D68"/>
    <w:rsid w:val="00747EAA"/>
    <w:rsid w:val="00944FE2"/>
    <w:rsid w:val="00A224A2"/>
    <w:rsid w:val="00AE22C7"/>
    <w:rsid w:val="00D75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2F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02F8"/>
    <w:rPr>
      <w:rFonts w:asciiTheme="majorHAnsi" w:eastAsiaTheme="majorEastAsia" w:hAnsiTheme="majorHAnsi" w:cstheme="majorBidi"/>
      <w:sz w:val="18"/>
      <w:szCs w:val="18"/>
    </w:rPr>
  </w:style>
  <w:style w:type="table" w:styleId="a5">
    <w:name w:val="Table Grid"/>
    <w:basedOn w:val="a1"/>
    <w:uiPriority w:val="59"/>
    <w:rsid w:val="00AE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E22C7"/>
    <w:rPr>
      <w:b w:val="0"/>
      <w:bCs w:val="0"/>
      <w:i w:val="0"/>
      <w:iCs w:val="0"/>
    </w:rPr>
  </w:style>
  <w:style w:type="paragraph" w:styleId="a7">
    <w:name w:val="header"/>
    <w:basedOn w:val="a"/>
    <w:link w:val="a8"/>
    <w:uiPriority w:val="99"/>
    <w:unhideWhenUsed/>
    <w:rsid w:val="00A224A2"/>
    <w:pPr>
      <w:tabs>
        <w:tab w:val="center" w:pos="4153"/>
        <w:tab w:val="right" w:pos="8306"/>
      </w:tabs>
      <w:snapToGrid w:val="0"/>
    </w:pPr>
    <w:rPr>
      <w:sz w:val="20"/>
      <w:szCs w:val="20"/>
    </w:rPr>
  </w:style>
  <w:style w:type="character" w:customStyle="1" w:styleId="a8">
    <w:name w:val="頁首 字元"/>
    <w:basedOn w:val="a0"/>
    <w:link w:val="a7"/>
    <w:uiPriority w:val="99"/>
    <w:rsid w:val="00A224A2"/>
    <w:rPr>
      <w:sz w:val="20"/>
      <w:szCs w:val="20"/>
    </w:rPr>
  </w:style>
  <w:style w:type="paragraph" w:styleId="a9">
    <w:name w:val="footer"/>
    <w:basedOn w:val="a"/>
    <w:link w:val="aa"/>
    <w:uiPriority w:val="99"/>
    <w:unhideWhenUsed/>
    <w:rsid w:val="00A224A2"/>
    <w:pPr>
      <w:tabs>
        <w:tab w:val="center" w:pos="4153"/>
        <w:tab w:val="right" w:pos="8306"/>
      </w:tabs>
      <w:snapToGrid w:val="0"/>
    </w:pPr>
    <w:rPr>
      <w:sz w:val="20"/>
      <w:szCs w:val="20"/>
    </w:rPr>
  </w:style>
  <w:style w:type="character" w:customStyle="1" w:styleId="aa">
    <w:name w:val="頁尾 字元"/>
    <w:basedOn w:val="a0"/>
    <w:link w:val="a9"/>
    <w:uiPriority w:val="99"/>
    <w:rsid w:val="00A224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2F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02F8"/>
    <w:rPr>
      <w:rFonts w:asciiTheme="majorHAnsi" w:eastAsiaTheme="majorEastAsia" w:hAnsiTheme="majorHAnsi" w:cstheme="majorBidi"/>
      <w:sz w:val="18"/>
      <w:szCs w:val="18"/>
    </w:rPr>
  </w:style>
  <w:style w:type="table" w:styleId="a5">
    <w:name w:val="Table Grid"/>
    <w:basedOn w:val="a1"/>
    <w:uiPriority w:val="59"/>
    <w:rsid w:val="00AE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AE22C7"/>
    <w:rPr>
      <w:b w:val="0"/>
      <w:bCs w:val="0"/>
      <w:i w:val="0"/>
      <w:iCs w:val="0"/>
    </w:rPr>
  </w:style>
  <w:style w:type="paragraph" w:styleId="a7">
    <w:name w:val="header"/>
    <w:basedOn w:val="a"/>
    <w:link w:val="a8"/>
    <w:uiPriority w:val="99"/>
    <w:unhideWhenUsed/>
    <w:rsid w:val="00A224A2"/>
    <w:pPr>
      <w:tabs>
        <w:tab w:val="center" w:pos="4153"/>
        <w:tab w:val="right" w:pos="8306"/>
      </w:tabs>
      <w:snapToGrid w:val="0"/>
    </w:pPr>
    <w:rPr>
      <w:sz w:val="20"/>
      <w:szCs w:val="20"/>
    </w:rPr>
  </w:style>
  <w:style w:type="character" w:customStyle="1" w:styleId="a8">
    <w:name w:val="頁首 字元"/>
    <w:basedOn w:val="a0"/>
    <w:link w:val="a7"/>
    <w:uiPriority w:val="99"/>
    <w:rsid w:val="00A224A2"/>
    <w:rPr>
      <w:sz w:val="20"/>
      <w:szCs w:val="20"/>
    </w:rPr>
  </w:style>
  <w:style w:type="paragraph" w:styleId="a9">
    <w:name w:val="footer"/>
    <w:basedOn w:val="a"/>
    <w:link w:val="aa"/>
    <w:uiPriority w:val="99"/>
    <w:unhideWhenUsed/>
    <w:rsid w:val="00A224A2"/>
    <w:pPr>
      <w:tabs>
        <w:tab w:val="center" w:pos="4153"/>
        <w:tab w:val="right" w:pos="8306"/>
      </w:tabs>
      <w:snapToGrid w:val="0"/>
    </w:pPr>
    <w:rPr>
      <w:sz w:val="20"/>
      <w:szCs w:val="20"/>
    </w:rPr>
  </w:style>
  <w:style w:type="character" w:customStyle="1" w:styleId="aa">
    <w:name w:val="頁尾 字元"/>
    <w:basedOn w:val="a0"/>
    <w:link w:val="a9"/>
    <w:uiPriority w:val="99"/>
    <w:rsid w:val="00A224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59554">
      <w:bodyDiv w:val="1"/>
      <w:marLeft w:val="150"/>
      <w:marRight w:val="0"/>
      <w:marTop w:val="375"/>
      <w:marBottom w:val="0"/>
      <w:divBdr>
        <w:top w:val="none" w:sz="0" w:space="0" w:color="auto"/>
        <w:left w:val="none" w:sz="0" w:space="0" w:color="auto"/>
        <w:bottom w:val="none" w:sz="0" w:space="0" w:color="auto"/>
        <w:right w:val="none" w:sz="0" w:space="0" w:color="auto"/>
      </w:divBdr>
    </w:div>
    <w:div w:id="1354459284">
      <w:bodyDiv w:val="1"/>
      <w:marLeft w:val="150"/>
      <w:marRight w:val="0"/>
      <w:marTop w:val="375"/>
      <w:marBottom w:val="0"/>
      <w:divBdr>
        <w:top w:val="none" w:sz="0" w:space="0" w:color="auto"/>
        <w:left w:val="none" w:sz="0" w:space="0" w:color="auto"/>
        <w:bottom w:val="none" w:sz="0" w:space="0" w:color="auto"/>
        <w:right w:val="none" w:sz="0" w:space="0" w:color="auto"/>
      </w:divBdr>
    </w:div>
    <w:div w:id="1517689695">
      <w:bodyDiv w:val="1"/>
      <w:marLeft w:val="0"/>
      <w:marRight w:val="0"/>
      <w:marTop w:val="0"/>
      <w:marBottom w:val="0"/>
      <w:divBdr>
        <w:top w:val="none" w:sz="0" w:space="0" w:color="auto"/>
        <w:left w:val="none" w:sz="0" w:space="0" w:color="auto"/>
        <w:bottom w:val="none" w:sz="0" w:space="0" w:color="auto"/>
        <w:right w:val="none" w:sz="0" w:space="0" w:color="auto"/>
      </w:divBdr>
      <w:divsChild>
        <w:div w:id="2099137106">
          <w:marLeft w:val="0"/>
          <w:marRight w:val="0"/>
          <w:marTop w:val="0"/>
          <w:marBottom w:val="0"/>
          <w:divBdr>
            <w:top w:val="none" w:sz="0" w:space="0" w:color="auto"/>
            <w:left w:val="none" w:sz="0" w:space="0" w:color="auto"/>
            <w:bottom w:val="none" w:sz="0" w:space="0" w:color="auto"/>
            <w:right w:val="none" w:sz="0" w:space="0" w:color="auto"/>
          </w:divBdr>
          <w:divsChild>
            <w:div w:id="418914296">
              <w:marLeft w:val="75"/>
              <w:marRight w:val="75"/>
              <w:marTop w:val="0"/>
              <w:marBottom w:val="0"/>
              <w:divBdr>
                <w:top w:val="none" w:sz="0" w:space="0" w:color="auto"/>
                <w:left w:val="none" w:sz="0" w:space="0" w:color="auto"/>
                <w:bottom w:val="none" w:sz="0" w:space="0" w:color="auto"/>
                <w:right w:val="none" w:sz="0" w:space="0" w:color="auto"/>
              </w:divBdr>
              <w:divsChild>
                <w:div w:id="302393988">
                  <w:marLeft w:val="0"/>
                  <w:marRight w:val="0"/>
                  <w:marTop w:val="0"/>
                  <w:marBottom w:val="150"/>
                  <w:divBdr>
                    <w:top w:val="none" w:sz="0" w:space="0" w:color="auto"/>
                    <w:left w:val="none" w:sz="0" w:space="0" w:color="auto"/>
                    <w:bottom w:val="none" w:sz="0" w:space="0" w:color="auto"/>
                    <w:right w:val="none" w:sz="0" w:space="0" w:color="auto"/>
                  </w:divBdr>
                  <w:divsChild>
                    <w:div w:id="1676766466">
                      <w:marLeft w:val="75"/>
                      <w:marRight w:val="75"/>
                      <w:marTop w:val="0"/>
                      <w:marBottom w:val="0"/>
                      <w:divBdr>
                        <w:top w:val="none" w:sz="0" w:space="0" w:color="auto"/>
                        <w:left w:val="none" w:sz="0" w:space="0" w:color="auto"/>
                        <w:bottom w:val="none" w:sz="0" w:space="0" w:color="auto"/>
                        <w:right w:val="none" w:sz="0" w:space="0" w:color="auto"/>
                      </w:divBdr>
                      <w:divsChild>
                        <w:div w:id="272053157">
                          <w:marLeft w:val="0"/>
                          <w:marRight w:val="0"/>
                          <w:marTop w:val="0"/>
                          <w:marBottom w:val="525"/>
                          <w:divBdr>
                            <w:top w:val="none" w:sz="0" w:space="0" w:color="auto"/>
                            <w:left w:val="none" w:sz="0" w:space="0" w:color="auto"/>
                            <w:bottom w:val="none" w:sz="0" w:space="0" w:color="auto"/>
                            <w:right w:val="none" w:sz="0" w:space="0" w:color="auto"/>
                          </w:divBdr>
                          <w:divsChild>
                            <w:div w:id="1959677668">
                              <w:marLeft w:val="0"/>
                              <w:marRight w:val="0"/>
                              <w:marTop w:val="0"/>
                              <w:marBottom w:val="0"/>
                              <w:divBdr>
                                <w:top w:val="none" w:sz="0" w:space="0" w:color="auto"/>
                                <w:left w:val="none" w:sz="0" w:space="0" w:color="auto"/>
                                <w:bottom w:val="none" w:sz="0" w:space="0" w:color="auto"/>
                                <w:right w:val="none" w:sz="0" w:space="0" w:color="auto"/>
                              </w:divBdr>
                              <w:divsChild>
                                <w:div w:id="1221945181">
                                  <w:marLeft w:val="0"/>
                                  <w:marRight w:val="0"/>
                                  <w:marTop w:val="0"/>
                                  <w:marBottom w:val="0"/>
                                  <w:divBdr>
                                    <w:top w:val="none" w:sz="0" w:space="0" w:color="auto"/>
                                    <w:left w:val="none" w:sz="0" w:space="0" w:color="auto"/>
                                    <w:bottom w:val="none" w:sz="0" w:space="0" w:color="auto"/>
                                    <w:right w:val="none" w:sz="0" w:space="0" w:color="auto"/>
                                  </w:divBdr>
                                  <w:divsChild>
                                    <w:div w:id="6076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603201">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174</Words>
  <Characters>995</Characters>
  <Application>Microsoft Office Word</Application>
  <DocSecurity>0</DocSecurity>
  <Lines>8</Lines>
  <Paragraphs>2</Paragraphs>
  <ScaleCrop>false</ScaleCrop>
  <Company>WRA</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人事室二科廖憶慈</dc:creator>
  <cp:lastModifiedBy>陳若琳</cp:lastModifiedBy>
  <cp:revision>5</cp:revision>
  <cp:lastPrinted>2017-04-10T06:51:00Z</cp:lastPrinted>
  <dcterms:created xsi:type="dcterms:W3CDTF">2017-04-10T06:38:00Z</dcterms:created>
  <dcterms:modified xsi:type="dcterms:W3CDTF">2017-04-14T09:15:00Z</dcterms:modified>
</cp:coreProperties>
</file>